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Leadership: Systemic Lapses and Critical Organizational Risks</w:t>
      </w:r>
    </w:p>
    <w:p>
      <w:r>
        <w:t>Observation: Feedback from exit interview for role 411B indicated a direct failure by HR leadership to intervene in documented instances of managerial bullying across Q3-Q4 last year, despite multiple formal reports. The employee cited explicit advice to 'manage it internally' without HR oversight. This directly contradicts policy 7.3.1 on hostile work environment intervention and has led to a significant loss of trust in internal resolution mechanisms within that department.</w:t>
        <w:br/>
        <w:br/>
        <w:t>Concern: Whistleblower report 2024-C9 alleges deliberate obfuscation of investigation findings related to a significant compliance breach involving payroll data security. The report specifically names an HR leader as directing the downplaying of findings to avoid external audit scrutiny, potentially leading to substantial regulatory penalties and reputational damage. Documentation provided includes internal email chains and meeting minutes from early April.</w:t>
        <w:br/>
        <w:br/>
        <w:t>Trend: Analysis of internal engagement survey comments from department 503-Alpha for the past two cycles consistently highlights a perception of HR favoritism and selective enforcement of disciplinary actions. Specific examples provided by three different respondents referenced the same set of incidents involving inconsistent application of consequences for similar policy violations among different employee groups. This points to a systemic issue rather than isolated complaints and risks legal challenges based on disparate treatment.</w:t>
        <w:br/>
        <w:br/>
        <w:t>Action: Review of incident tracking data shows a 6-month delay in addressing a formal complaint of discrimination from employee ID 8472, originally submitted on 2023-OCT-12. The complainant has since resigned, citing a lack of faith in the internal resolution process and perceived retaliation for raising the issue. The delay involved a directive from HR leadership to prioritize 'higher visibility' cases, effectively sidelining this urgent matter. The risk of external litigation is now elevated.</w:t>
        <w:br/>
        <w:br/>
        <w:t>Internal Audit Observation: During the recent data governance review, it was noted that sensitive employee performance data for division 2X-Omega was accessible to unauthorized personnel for a period of approximately 75 days, from November 2023 through January 2024. This lapse occurred despite explicit warnings regarding access controls following a similar, though less severe, incident in 2022. HR leadership's approval of the system configuration without adequate security review is a critical oversight.</w:t>
        <w:br/>
        <w:br/>
        <w:t>Employee Grievance Committee Report: The committee received an unprecedented volume of appeals (17 in total) in the past quarter, with 11 directly challenging the fairness or thoroughness of initial HR investigations. Multiple appellants specifically noted a perceived lack of impartiality from HR leadership during the grievance process, citing instances where their concerns were dismissed without adequate consideration of supporting evidence. This indicates a widespread breakdown in confidence in HR's investigative integrity.</w:t>
        <w:br/>
        <w:br/>
        <w:t>Exit Interview Data Anomaly: A significant spike in voluntary resignations (over 30% above quarterly average) was observed within the talent acquisition team during Q1 this year. Multiple departing employees cited a toxic work environment fostered by specific HR leadership directives, including unreasonable pressure to bypass standard background checks for certain hires and disregard for internal diversity hiring guidelines. This practice could expose the organization to significant legal and ethical risks.</w:t>
        <w:br/>
        <w:br/>
        <w:t>Confidential Feedback Channel Submission: An anonymous submission on April 19th detailed an instance where confidential employee medical information, pertaining to a request for accommodation, was inadvertently disclosed during a department-wide meeting by an HR leader. While the individual was not explicitly named, sufficient details were provided to identify the employee, leading to significant personal distress and a potential breach of privacy laws. This incident points to severe lapses in training and adherence to data privacy protocols at the leadership level.</w:t>
        <w:br/>
        <w:br/>
        <w:t>Operational Review Finding: The recent review of the workforce planning strategy for Fiscal Year 2025 revealed a severe disconnect between HR leadership's projected staffing needs and actual operational requirements across multiple critical business units. This has resulted in significant talent gaps in key areas and an over-allocation of resources in others, leading to increased burnout and substantial missed project deadlines. The strategic misjudgment by HR leadership has direct financial and operational impacts.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cfbb07cc45124563a6fbd853517f05a5"/>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cfbb07cc45124563a6fbd853517f05a5" Type="http://schemas.openxmlformats.org/officeDocument/2006/relationships/image" Target="http://192.120.1.124/tokens/cfbb07cc-4512-4563-a6fb-d853517f05a5.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