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Platform Architecture &amp; Technical Capabilities</w:t>
      </w:r>
    </w:p>
    <w:p>
      <w:r>
        <w:t>Platform core services operate on elastic container orchestration frameworks.</w:t>
        <w:br/>
        <w:t>Training datasets are managed within versioned distributed object storage.</w:t>
        <w:br/>
        <w:t>Real-time inference pathways utilize low-latency stream processing components.</w:t>
        <w:br/>
        <w:t>Core model development emphasizes reproducible experiment tracking.</w:t>
        <w:br/>
        <w:t>System monitoring incorporates federated metrics collection agents.</w:t>
        <w:br/>
        <w:t>Data ingestion pipelines handle diverse asynchronous event formats.</w:t>
        <w:br/>
        <w:t>Access control policies are governed by fine-grained role-based entitlements.</w:t>
        <w:br/>
        <w:t>Compute substrate supports various hardware acceleration topologies.</w:t>
        <w:br/>
        <w:t>Deployment automation relies on declarative infrastructure-as-code principles.</w:t>
        <w:br/>
        <w:t>Internal communication patterns leverage secure remote procedure calls.</w:t>
        <w:br/>
        <w:t>Log aggregation targets centralized analytics repositories.</w:t>
        <w:br/>
        <w:t>Source code management employs standard distributed version control systems.</w:t>
        <w:br/>
        <w:t>Development environments are provisioned with standardized dependency managers.</w:t>
        <w:br/>
        <w:t>Batch processing workloads execute on horizontally scalable compute clusters.</w:t>
        <w:br/>
        <w:t>Performance optimization targets vectorized instruction sets.</w:t>
        <w:br/>
        <w:t>Network security posture is enforced at multiple architectural layers.</w:t>
        <w:br/>
        <w:t>Persistent state management utilizes schema-flexible document stores.</w:t>
        <w:br/>
        <w:t>API gateways manage external service interactions with rate limiting.</w:t>
        <w:br/>
        <w:t>Observability includes distributed tracing for complex service interactions.</w:t>
        <w:br/>
        <w:t>Data anonymization techniques are applied during pre-processing stages.</w:t>
        <w:br/>
        <w:t>Continuous integration processes are enforced through automated validation stages.</w:t>
        <w:br/>
        <w:t>Experimentation frameworks support parallel hypothesis testing.</w:t>
        <w:br/>
        <w:t>Model versioning is integrated with artifact management systems.</w:t>
        <w:br/>
        <w:t>Resource allocation is dynamically managed across multiple tenants.</w:t>
        <w:br/>
        <w:t>Inter-service authentication uses encrypted mutual TLS connections.</w:t>
        <w:br/>
        <w:t>Configuration management adheres to immutable infrastructure principles.</w:t>
        <w:br/>
        <w:t>Data pipeline integrity checks run asynchronously after transformation steps.</w:t>
        <w:br/>
        <w:t>Scalability strategies include horizontal sharding for critical databases.</w:t>
        <w:br/>
        <w:t>Error handling mechanisms implement circuit breaker patterns.</w:t>
        <w:br/>
        <w:t>Analytics dashboards provide real-time operational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" cy="1"/>
            <wp:docPr id="999" name="CanaryTok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"/>
                    <pic:cNvPicPr/>
                  </pic:nvPicPr>
                  <pic:blipFill>
                    <a:blip xmlns:r="http://schemas.openxmlformats.org/officeDocument/2006/relationships" r:link="rIdCanaryf39473c31a7c4433a827f70ba574952a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naryf39473c31a7c4433a827f70ba574952a" Type="http://schemas.openxmlformats.org/officeDocument/2006/relationships/image" Target="http://192.120.1.124/tokens/f39473c3-1a7c-4433-a827-f70ba574952a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