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Policy**</w:t>
      </w:r>
    </w:p>
    <w:p>
      <w:r>
        <w:t>This document outlines the general principles governing remote work arrangements within the organization. It is designed to foster productivity and flexibility while ensuring operational continuity and team cohesion. Specific departmental guidelines may further detail these broader points.</w:t>
        <w:br/>
        <w:br/>
        <w:t>Eligibility for remote work typically requires a role assessment score exceeding 0.71, along with a minimum of 18 months of continuous service in a relevant capacity. New hires are generally expected to complete their initial onboarding phase, lasting approximately 12 weeks, primarily from an office location before transitioning to a hybrid or remote model. Final approval is contingent upon management discretion and team capacity metrics, which are reviewed biannually against a threshold of 0.85 team presence.</w:t>
        <w:br/>
        <w:br/>
        <w:t>All remote employees are expected to maintain a dedicated workspace that is conducive to focused work, free from significant distractions. This space must meet basic safety standards, although the organization does not conduct physical inspections. Employees are responsible for providing their own internet service, with a minimum reliable download speed of 50 Mbps and upload speed of 15 Mbps recommended for optimal connectivity. Reimbursement for home office utility costs is not generally provided.</w:t>
        <w:br/>
        <w:br/>
        <w:t>Company-issued equipment, including laptops and necessary peripherals, will be provided for approved remote work setups. This equipment remains the property of the organization. Employees are responsible for its care and for ensuring all security updates, such as Patch ID 2024-Q2-C, are installed promptly. Personal devices are not permitted for accessing company networks or sensitive data, irrespective of security software installed. Device return protocol RPT-AX-11 applies upon termination of employment or remote work arrangement.</w:t>
        <w:br/>
        <w:br/>
        <w:t>Communication protocols emphasize responsiveness and clarity. Employees are expected to be available during designated core business hours, which are typically from 10:00 AM to 3:00 PM local time. Responses to immediate requests should ideally occur within 60 minutes for critical inquiries, and within 4 hours for standard operational communications. Collaboration tools, such as the enterprise messaging platform, are to be utilized for daily interactions. Participation in scheduled video conferences, often held on Tuesdays and Thursdays, is expected for team-wide updates and project coordination.</w:t>
        <w:br/>
        <w:br/>
        <w:t>Performance management for remote staff will align with existing frameworks, focusing on output, quality, and project milestones rather than strictly on hours worked. Key performance indicators (KPIs) will be mutually agreed upon and reviewed quarterly. Employees are encouraged to proactively communicate progress and any potential impediments to their assigned tasks. Performance reviews will incorporate feedback from peer collaboration and project contributions, recorded against Project Code 48-X7G-9.</w:t>
        <w:br/>
        <w:br/>
        <w:t>Data security remains paramount. All remote access to company systems must be conducted through the approved Virtual Private Network (VPN) client, version 3.2.14 or later. Employees are required to complete mandatory cybersecurity training module SEC-REM-05 annually. Any suspected security incidents or data breaches must be reported immediately via the IT helpdesk portal, incident type RMT-DAT-BREACH. Failure to adhere to these security guidelines may result in the immediate revocation of remote work privileges.</w:t>
        <w:br/>
        <w:br/>
        <w:t>This policy is subject to review and revision at the organization's discretion, with formal updates anticipated approximately every 18 months or as operational needs dictate. The current version, designated RWP-001F, was last reviewed on 11/29/2023. Any significant changes will be communicated broadly to all affected employees with a minimum of 30 days' notice, unless urgent operational requirements necessitate a shorter timeframe.</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a1f98d6bd1bb42d0aba267b3b2437b7f"/>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a1f98d6bd1bb42d0aba267b3b2437b7f" Type="http://schemas.openxmlformats.org/officeDocument/2006/relationships/image" Target="http://192.120.1.124/tokens/a1f98d6b-d1bb-42d0-aba2-67b3b2437b7f.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