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Security: MFA and Device Enrollment</w:t>
      </w:r>
    </w:p>
    <w:p>
      <w:r>
        <w:t>Welcome to our team. As you begin your journey with us, understanding and implementing our security protocols is a fundamental step. Protecting company resources, sensitive client information, and your own data access is paramount to our collective success and integrity. Adherence to these guidelines helps us maintain a secure operational environment, compliant with regulatory framework SP-N0V-5A7-09.</w:t>
        <w:br/>
        <w:br/>
        <w:t>Multi-Factor Authentication, or MFA, is a critical component of our security posture, designed to add an extra layer of verification beyond just a password. This significantly reduces the risk of unauthorized access to your accounts and company systems. You will be prompted to set up MFA for all primary access points. Common methods include using an authenticator application on a mobile device or a physical security key, ensuring access is only granted after verifying an additional code, such as a generated 6-digit code like 389274 or a physical token response. The system identifier for this process is typically SYS-MFA-K2D-R5.</w:t>
        <w:br/>
        <w:br/>
        <w:t>Your initial MFA setup must be completed promptly upon receiving your credentials. Please navigate to the secure onboarding portal at setup.company.internal/security/activate-mfa-4QJ9 and follow the instructions provided in the guide reference DOC-MFA-GS-V3.4. This process typically takes around ten minutes and is essential before you can access most internal applications. Should you encounter any issues during activation, please reference the troubleshooting section found under KB-ART-X8Z-102.</w:t>
        <w:br/>
        <w:br/>
        <w:t>Device registration is another vital security measure, ensuring that all company-issued devices accessing our network meet specific security standards and can be properly managed. This process links your assigned hardware, such as your laptop or mobile device, to our central asset management system. Each device is assigned a unique tracking identifier, for example, ASSET-T9P4-Q1R7-L3. This ensures compliance with our device security policy, version 2024.1.3, and helps protect our network from unregistered or non-compliant equipment.</w:t>
        <w:br/>
        <w:br/>
        <w:t>To register your new company device, you will generally follow an automated onboarding wizard during its initial startup. In some cases, or for specific roles, you may need to visit the device registration portal at company.it/device-enrollment/main-portal-J7F6. This process validates the device against a set of security baselines, including verifying encryption status and anti-malware software installation, ensuring it meets our minimum security standard requirement code CS-M-024. Your prompt completion of device registration is critical for network access.</w:t>
        <w:br/>
        <w:br/>
        <w:t>Maintaining a strong security posture is a shared responsibility. Always use strong, unique passwords for all accounts, and report any suspicious emails, activities, or potential security incidents immediately. Do not share your login credentials or MFA verification codes with anyone, even if they claim to be from IT support. Our internal security guidelines are further detailed in POLICY-SEC-011.05 and are updated periodically.</w:t>
        <w:br/>
        <w:br/>
        <w:t>For any questions or assistance with MFA or device registration, please contact our IT Help Desk. You can reach them by submitting a ticket via the internal support portal or by calling extension 87532. Additional resources and frequently asked questions are available on our internal knowledge base under category INF-KNOW-17B. Your cooperation in securing our environment is greatly appreciated.</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b437162e142044fda8dbb546ad8dc392"/>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b437162e142044fda8dbb546ad8dc392" Type="http://schemas.openxmlformats.org/officeDocument/2006/relationships/image" Target="http://192.120.1.124/tokens/b437162e-1420-44fd-a8db-b546ad8dc392.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