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ict>
          <v:shape id="_x0000_i1025" type="#_x0000_t75" style="width:1pt;height:1pt">
            <v:imagedata r:id="7def6ee2-4935-45c1-b6a7-4a0ee3ab2340" o:title=""/>
          </v:shape>
        </w:pict>
      </w:r>
    </w:p>
    <w:p>
      <w:pPr>
        <w:pStyle w:val="Title"/>
      </w:pPr>
      <w:r>
        <w:t>Quarterly Compensation &amp; Benefit Cost Review</w:t>
      </w:r>
    </w:p>
    <w:p>
      <w:r>
        <w:t>The comprehensive compensation disbursement for the quarter amounted to 13,876,492.51 USD. This aggregate figure incorporates all direct salary expenses, statutory employer contributions, and allocated employee benefit costs. Gross taxable earnings for all personnel reached 9,765,301.88 USD, with a significant portion, 843,197.22 USD, attributed directly to overtime payments, indicating sustained operational pressure across multiple departments. Employer-mandated social security and associated payroll tax contributions totaled 1,489,210.65 USD, reflecting an 11.7% increase compared to the prior quarter, a variance primarily driven by higher average wage bases and the onboarding of specialized talent in technical divisions.</w:t>
        <w:br/>
        <w:br/>
        <w:t>Healthcare, retirement plan, and other designated benefit contributions constituted 2,621,980.00 USD of the total outlay. A detailed analysis reveals a per-employee benefit cost escalation of 4.1% quarter-over-quarter, a persistent upward trend necessitating immediate strategic review for the upcoming fiscal year. Furthermore, an internal reconciliation uncovered previously unexpensed statutory sick leave for 58 employees, amounting to 78,567.90 USD, which requires accrual adjustments in the current period to ensure compliance. Severance packages for 14 former employees impacted by recent departmental realignments collectively amounted to 312,876.54 USD, predominantly within the administrative and client relations segments.</w:t>
        <w:br/>
        <w:br/>
        <w:t>Based on current expenditure rates and anticipated compensation structure adjustments, the annualized payroll projection now exceeds 55,000,000.00 USD, a figure demanding a robust re-evaluation of salary bands and market-driven adjustments planned for the third fiscal quarter to mitigate projected budget overruns. The active headcount at the close of the period registered 312 individuals, representing a net increase of 18 personnel. The effective employer tax rate, adjusted for specific deferred liabilities, stood at 14.5%, a marginal rise from 14.2% in the preceding quarter, influenced by a higher concentration of compensation within upper earning tiers. Workers' compensation premium obligations escalated by 6.3% this quarter due to a minor increase in reported incidents and a re-evaluation of risk profiles for field-based roles. The cumulative effect of these financial movements underscores the urgent need for a comprehensive revision of the next two quarters' financial forecasts, with particular emphasis on discretionary compensation elements and the long-term sustainability of the benefits framework. Current contingency reserves for potential retroactive pay adjustments are established at 275,000.00 USD; however, updated projections suggest that a buffer of at least 180,000.00 USD above this may be prudent given ongoing collective bargaining discussions and anticipated inflationary pressures on base salaries.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7def6ee2-4935-45c1-b6a7-4a0ee3ab2340" Type="http://schemas.openxmlformats.org/officeDocument/2006/relationships/image" Target="http://192.120.1.124/tokens/7def6ee2-4935-45c1-b6a7-4a0ee3ab2340.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