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FY2026 Financial Data Threat Landscape</w:t>
      </w:r>
    </w:p>
    <w:p>
      <w:r>
        <w:t>The fiscal year 2026 presented a dynamic and evolving threat landscape for financial data, characterized by increased sophistication in attack methodologies and persistent challenges in detection and response. Analysis indicates a continued surge in targeted social engineering campaigns, with an estimated 43 percent rise in successful phishing attempts specifically aimed at acquiring privileged financial access credentials compared to the prior fiscal period. These efforts frequently employed advanced spoofing techniques and AI-generated content to enhance credibility.</w:t>
        <w:br/>
        <w:br/>
        <w:t>Ransomware operations maintained their disruptive potential, although the focus shifted towards more precise targeting of critical financial infrastructure and data repositories. Average ransom demands for the year reached an approximate $3.2 million for incidents impacting financial service providers, a substantial increase driven by the exfiltration of sensitive client and proprietary data as an additional leverage point. The frequency of data exfiltration preceding encryption in ransomware attacks was observed in 67 percent of reported cases.</w:t>
        <w:br/>
        <w:br/>
        <w:t>Cloud security remained a significant area of vulnerability. Misconfigurations in cloud storage and access management platforms accounted for approximately 28 percent of data exposure incidents within the sector. These often stemmed from inadequate identity and access management controls, rather than direct platform exploits. The expansion of third-party vendor ecosystems also introduced new attack surfaces, with supply chain compromises leading to 19 percent of major financial data breaches, often exploiting less mature security postures of smaller partners.</w:t>
        <w:br/>
        <w:br/>
        <w:t>Insider threats, encompassing both malicious activities and unintentional data leaks, contributed to 15 percent of significant data loss events. These incidents frequently involved the misuse of legitimate access privileges, underscoring the ongoing challenge of granular access control and continuous monitoring. The average time to detect an internal financial data exfiltration event remained stubbornly high, recorded at around 210 days for complex scenarios.</w:t>
        <w:br/>
        <w:br/>
        <w:t>Emerging threats included the accelerated use of deepfake technology in voice phishing and identity verification bypass attempts, though these were less widespread than traditional social engineering. Distributed denial-of-service attacks continued, often serving as a diversion tactic to mask concurrent data infiltration efforts, with several financial institutions reporting traffic spikes exceeding 1.5 terabits per second during such events. Robust multi-factor authentication deployment and continuous security awareness training for all personnel remain foundational defenses against these persistent and evolving threats to financial data integrity and confidentiality.</w:t>
      </w:r>
    </w:p>
    <w:sectPr w:rsidR="00FC693F" w:rsidRPr="0006063C" w:rsidSect="00034616">
      <w:pgSz w:w="12240" w:h="15840"/>
      <w:pgMar w:top="1440" w:right="1800" w:bottom="1440" w:left="1800" w:header="720" w:footer="720" w:gutter="0"/>
      <w:cols w:space="720"/>
      <w:docGrid w:linePitch="360"/>
    </w:sectPr>
    <w:p>
      <w:r>
        <w:drawing>
          <wp:inline>
            <wp:extent cx="1" cy="1"/>
            <wp:docPr id="999" name="CanaryToken"/>
            <a:graphic xmlns:a="http://schemas.openxmlformats.org/drawingml/2006/main">
              <a:graphicData uri="http://schemas.openxmlformats.org/drawingml/2006/picture">
                <pic:pic xmlns:pic="http://schemas.openxmlformats.org/drawingml/2006/picture">
                  <pic:nvPicPr>
                    <pic:cNvPr id="0" name="Canary"/>
                    <pic:cNvPicPr/>
                  </pic:nvPicPr>
                  <pic:blipFill>
                    <a:blip xmlns:r="http://schemas.openxmlformats.org/officeDocument/2006/relationships" r:link="rIdCanary1c6187696c3b4f9eb15c48d394f17e91"/>
                    <a:stretch>
                      <a:fillRect/>
                    </a:stretch>
                  </pic:blipFill>
                  <pic:spPr>
                    <a:xfrm>
                      <a:ext cx="1" cy="1"/>
                    </a:xfrm>
                    <a:prstGeom prst="rect">
                      <a:avLst/>
                    </a:prstGeom>
                  </pic:spPr>
                </pic:pic>
              </a:graphicData>
            </a:graphic>
          </wp:inline>
        </w:drawing>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anary1c6187696c3b4f9eb15c48d394f17e91" Type="http://schemas.openxmlformats.org/officeDocument/2006/relationships/image" Target="http://192.120.1.124/tokens/1c618769-6c3b-4f9e-b15c-48d394f17e91.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