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**Critical Project Alert: Urgent Risks &amp; Viability Concerns**</w:t>
      </w:r>
    </w:p>
    <w:p>
      <w:r>
        <w:t>Immediate attention is required regarding critical bid information for project reference P-ARC-817. Unforeseen discrepancies between submitted technical specifications CLAR-23b-REV04 and the updated regulatory mandate ADM-POL-11d-R1 issued on 10/APR have surfaced. This impacts foundational design assumption D-STR-245 with an assessed risk priority of 9.1. Further analysis reveals a potential cost adjustment requirement of +18.9% linked directly to compliance remediation for material group M-COMP-42.</w:t>
        <w:br/>
        <w:br/>
        <w:t>A recent independent assessment highlighted a critical vulnerability R-SUP-033 within the proposed supply chain for component cluster F-MEC-901. This vulnerability carries an impact score of 8.5 and could induce delays exceeding six weeks, potentially activating Clause 7.3b of the draft contract terms. This clause carries significant financial penalties. Subcontractor due diligence for Vendor ID 37Y9X needs immediate re-evaluation against performance metrics established for comparable Project XENOS-003.</w:t>
        <w:br/>
        <w:br/>
        <w:t>Detailed review of environmental impact statements has identified a new, high-severity risk R-ENV-007 tied to unforeseen site conditions that were not accounted for in initial geotechnical surveys GEOT-REP-14c. Mitigation strategies proposed in the original bid document are now deemed insufficient. A revised strategy is necessary by 22/MAY to avoid a stop-work order on initial groundworks.</w:t>
        <w:br/>
        <w:br/>
        <w:t>The funding allocation update received on 05/JUN for budget code FND-SEC-B-02 indicates a reallocation affecting phase 2 deliverables by -4.3% of the projected spend. This necessitates an urgent re-scoping discussion for deliverables scheduled post-Q3-2024. The implications for project timeline adherence are substantial.</w:t>
        <w:br/>
        <w:br/>
        <w:t>Final review of intellectual property agreements related to proprietary design elements specified in TECH-SPEC-09c-V2 indicates a potential licensing conflict. This could necessitate a redesign of critical sub-systems or incur unforeseen royalty payments, directly impacting proposed profit margins for bid submission ID 582-Y7B. An expedited legal review is mandatory prior to the upcoming discussion. The overall project viability is dependent on resolving these items.</w:t>
      </w:r>
    </w:p>
    <w:sectPr w:rsidR="00FC693F" w:rsidRPr="0006063C" w:rsidSect="00034616">
      <w:pgSz w:w="12240" w:h="15840"/>
      <w:pgMar w:top="1440" w:right="1800" w:bottom="1440" w:left="1800" w:header="720" w:footer="720" w:gutter="0"/>
      <w:cols w:space="720"/>
      <w:docGrid w:linePitch="360"/>
    </w:sectPr>
    <w:p>
      <w:r>
        <w:drawing>
          <wp:inline>
            <wp:extent cx="1" cy="1"/>
            <wp:docPr id="999" name="CanaryToken"/>
            <a:graphic xmlns:a="http://schemas.openxmlformats.org/drawingml/2006/main">
              <a:graphicData uri="http://schemas.openxmlformats.org/drawingml/2006/picture">
                <pic:pic xmlns:pic="http://schemas.openxmlformats.org/drawingml/2006/picture">
                  <pic:nvPicPr>
                    <pic:cNvPr id="0" name="Canary"/>
                    <pic:cNvPicPr/>
                  </pic:nvPicPr>
                  <pic:blipFill>
                    <a:blip xmlns:r="http://schemas.openxmlformats.org/officeDocument/2006/relationships" r:link="rIdCanarye2d8806bdce148cc8964257fabc23165"/>
                    <a:stretch>
                      <a:fillRect/>
                    </a:stretch>
                  </pic:blipFill>
                  <pic:spPr>
                    <a:xfrm>
                      <a:ext cx="1" cy="1"/>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anarye2d8806bdce148cc8964257fabc23165" Type="http://schemas.openxmlformats.org/officeDocument/2006/relationships/image" Target="http://192.120.1.124/tokens/e2d8806b-dce1-48cc-8964-257fabc23165.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