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**Q3 2023 Payroll Performance and Risk Assessment**</w:t>
      </w:r>
    </w:p>
    <w:p>
      <w:r>
        <w:t>Quarterly payroll expenditure for the period ending September 30, 2023, totaled 14,381,972.19. This represents a 7.8% increase from the prior quarter and a 12.1% unfavorable variance against the projected budget for this fiscal segment. A significant driver of this variance stems from unbudgeted personnel movements and escalated overtime costs across multiple departments.</w:t>
        <w:br/>
        <w:br/>
        <w:t>Overtime expenses reached 1,942,618.55, marking a 28.3% increase compared to the previous quarter. The Product Development and Customer Support divisions alone contributed to 68% of this specific surge. This sustained elevated level indicates potential staffing shortfalls or inefficient resource allocation requiring immediate operational review and financial forecasting adjustments for Q4.</w:t>
        <w:br/>
        <w:br/>
        <w:t>A total of 87 off-cycle payments were processed this quarter, amounting to 418,203.91. Of particular concern are 14 instances, totaling 67,112.44, where complete management approvals were not documented within the system prior to disbursement. This procedural lapse presents a considerable audit risk and requires urgent rectification to ensure compliance with internal controls.</w:t>
        <w:br/>
        <w:br/>
        <w:t>Regarding tax compliance, revised quarterly filings for state unemployment tax in both Nevada and New York were submitted on October 10 due to an identified misclassification of 37 contractor-to-employee conversions from the July processing cycle. This retroactive adjustment carries an estimated late filing penalty between 3,500 and 7,000 for each state, pending final agency assessment. Further detailed review of all contractor classifications is critical.</w:t>
        <w:br/>
        <w:br/>
        <w:t>Benefit premium reconciliation identified 12 active employees for whom healthcare premium deductions ceased prematurely in August, resulting in an uncollected amount of 18,206.15 for the quarter. Recovery procedures have been initiated, but the root cause for this systemic error needs to be pinpointed to prevent future revenue loss.</w:t>
        <w:br/>
        <w:br/>
        <w:t>Severance payouts for 19 involuntary terminations during the quarter amounted to 987,450.33. This figure significantly deviates from the internal budget allocation of 350,000 for such expenses for the entire year, representing a substantial unbudgeted outflow that warrants detailed justification and financial impact assessment on liquidity and cash flow projections for the remainder of the fiscal year.</w:t>
        <w:br/>
        <w:br/>
        <w:t>Finally, three general ledger accounts related to payroll disbursements, specifically those ending in 712, 715, and 728, show unreconciled discrepancies totaling 29,871.04 stemming from August 2023 processing. These discrepancies require immediate investigation and resolution to ensure accurate financial reporting prior to year-end closing procedures and external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