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 2024 Payroll Analysis: Critical Findings &amp; Strategic Implications**</w:t>
      </w:r>
    </w:p>
    <w:p>
      <w:r>
        <w:t>Quarter Three Two Zero Two Four Payroll Summary</w:t>
        <w:br/>
        <w:br/>
        <w:t>Total Gross Wages: Seven Million Three Hundred Forty Five Thousand Six Hundred Seventy Eight Dollars and Ninety One Cents</w:t>
        <w:br/>
        <w:t>Total Employer Tax Contribution: Six Hundred Forty Three Thousand One Hundred Twenty Three Dollars and Forty Five Cents</w:t>
        <w:br/>
        <w:t>Total Employer Benefits Expense: One Million Two Hundred Fifteen Thousand Eight Hundred Seventy Six Dollars and Fifty Four Cents</w:t>
        <w:br/>
        <w:t>Total Payroll Expense for Quarter: Nine Million Two Hundred Four Thousand Six Hundred Seventy Eight Dollars and Ninety Zero Cents</w:t>
        <w:br/>
        <w:br/>
        <w:t>Detailed Expense Breakdown:</w:t>
        <w:br/>
        <w:t>Regular Hourly and Salaried Compensation: Six Million One Hundred Twenty Three Thousand Four Hundred Fifty Six Dollars and Seventy Eight Cents</w:t>
        <w:br/>
        <w:t>Overtime Payouts: Eight Hundred Seventy Six Thousand Five Hundred Forty Three Dollars and Twenty One Cents</w:t>
        <w:br/>
        <w:t>Commissions and Performance Incentives: Two Hundred Thirty Four Thousand Five Hundred Sixty Seven Dollars and Eighty Nine Cents</w:t>
        <w:br/>
        <w:t>Bonus Payments: One Hundred Eleven Thousand Two Hundred Twenty Two Dollars and Thirty Three Cents</w:t>
        <w:br/>
        <w:t>Severance and Termination Costs: One Hundred Fifty Six Thousand Seven Hundred Eighty Nine Dollars and One Cent</w:t>
        <w:br/>
        <w:t>Employer Health Plan Premiums: Nine Hundred Eighty Seven Thousand Six Hundred Fifty Four Dollars and Thirty Two Cents</w:t>
        <w:br/>
        <w:t>Employer Retirement Plan Contributions: One Hundred Seventy Eight Thousand Nine Hundred One Dollars and Twenty Three Cents</w:t>
        <w:br/>
        <w:t>Employer FICA and Medicare Taxes: Four Hundred Fifty Six Thousand Seven Hundred Eighty Nine Dollars and One Cent</w:t>
        <w:br/>
        <w:t>Employer State and Federal Unemployment Taxes: Twelve Thousand Three Hundred Forty Five Dollars and Sixty Seven Cents</w:t>
        <w:br/>
        <w:br/>
        <w:t>Key Observations and Concerns:</w:t>
        <w:br/>
        <w:t>Quarter Three demonstrated a significant unbudgeted increase in total payroll expense. This was primarily driven by several critical factors requiring immediate attention. Overtime payouts surged by over forty percent compared to the previous quarter, with specific departments such as Operations, Field Services, and Product Development showing the most substantial increases. Analysis indicates this is linked to project scope creep and staffing shortages that were not fully addressed during the planning cycle.</w:t>
        <w:br/>
        <w:br/>
        <w:t>Furthermore, severance and termination costs reflect several key personnel exits, impacting both the direct expense line and potentially future operational continuity. These costs were not fully anticipated within the quarterly financial forecasts. A review of the specific circumstances surrounding these separations and their financial implications for the upcoming period is underway.</w:t>
        <w:br/>
        <w:br/>
        <w:t>Employer health plan premiums also exceeded projections due to higher than expected enrollment in specific high-cost plans and an adjustment factor from the previous period that was not fully integrated into our initial estimates. A deeper dive into plan utilization, actuarial assumptions, and future premium negotiation strategies is essential to mitigate ongoing cost escalation.</w:t>
        <w:br/>
        <w:br/>
        <w:t>Payroll tax adjustments are pending for specific roles reclassified within the California jurisdiction, potentially incurring additional liabilities or requiring corrected filings for prior periods. This compliance issue demands expedited resolution to avoid escalating penalties and ensure accurate reporting.</w:t>
        <w:br/>
        <w:br/>
        <w:t>The overall Quarter Three financial performance was materially impacted by these unforecasted payroll expenditures. A detailed variance analysis comparing actuals to budget and prior period trends is critical, along with developing actionable strategies to mitigate these expenditure patterns in Quarter Four and beyond. Urgent review of staffing models, project timelines, and benefit plan cost controls is highly recommended to bring payroll expenses back into alignment with established budgetary targets.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