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**Strategic Cyber Resilience: Executive Directives for an Elevated Threat Landscape**</w:t>
      </w:r>
    </w:p>
    <w:p>
      <w:r>
        <w:t>The current threat landscape demands an immediate and unwavering focus from cyber managers on direct operational resilience. The window for detecting critical intrusions has narrowed to an average of 14 minutes for sophisticated actors. A recent internal assessment flagged 8.6 out of 10 for potential business interruption from unaddressed vulnerabilities, specifically impacting legacy financial systems operating on firmware version 2.9.18. This directly translates to a projected financial exposure of $18.3 million for a single major breach event impacting critical data stores. Your incident response plans must now pivot from reactive containment to proactive executive notification and strategic damage control within a 2-hour threshold. This includes pre-approved communication channels with external counsel and mandated board-level briefings, moving beyond mere technical reporting. Review all current tabletop exercises to ensure they simulate nation-state level exfiltration attempts rather than simple denial of service, specifically targeting intellectual property classified under project designation Gamma-702.</w:t>
        <w:br/>
        <w:br/>
        <w:t>The integrity of your supply chain is now a primary attack vector. Vendor security assessments often fail to uncover deep-seated vulnerabilities such as those leveraged in the recent PNT-2024-9183 exploit, which resided dormant in a third-party application for 217 days before activation. This specific exploit vector enabled unauthorized access to 6.2 terabytes of proprietary manufacturing schematics from a seemingly innocuous software update. Mandate an immediate re-evaluation of all Tier 1 and Tier 2 vendor contracts, specifically focusing on security-centric clauses for data handling, breach notification within 12 hours, and mandatory forensic cooperation. Current contract reviews show 39% lack adequate indemnification for catastrophic data loss, leaving the organization significantly exposed to regulatory penalties that can easily exceed $30 million for non-compliance with global data protection frameworks like GDPR Article 83.</w:t>
        <w:br/>
        <w:br/>
        <w:t>Strengthen your insider threat detection capabilities beyond basic logging. The most critical data exfiltration events originate from privileged access accounts, with 19 distinct anomalies detected last quarter across development environments. Focus on behavioral analytics that flag deviations from established access patterns within 5 minutes, particularly around sensitive data repositories holding customer PII for over 3.7 million individuals. Ensure immutable backup strategies are deployed and rigorously tested weekly, isolating critical data from network access and verifying data restoration capability for volumes up to 10 terabytes, with a recovery time objective of no more than 4 hours for core services. Any deviation from these stringent recovery metrics indicates a critical failure point requiring immediate executive intervention and a complete re-architecture of current disaster recovery protocols. The repercussions of a prolonged outage or irrecoverable data extend far beyond financial loss, directly impacting brand reputation and market trust for potentially 7 years 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