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Cybersecurity Legal &amp; Compliance Framework</w:t>
      </w:r>
    </w:p>
    <w:p>
      <w:r>
        <w:t>Compliance with established legal frameworks and internal policies is paramount for all cybersecurity personnel and analysts. This document outlines key procedures and developmental policies intended to guide actions and ensure adherence to regulatory mandates, safeguarding both organizational integrity and individual accountability.</w:t>
        <w:br/>
        <w:br/>
        <w:t>Incident response protocols require immediate engagement with legal counsel upon identification of a confirmed or highly probable security incident, particularly those involving potential data breaches or system compromise. Initial reporting to the designated legal contact must occur within a window of 48 hours from incident validation, irrespective of the incident's perceived severity. All relevant forensic artifacts and preliminary findings are to be secured and documented meticulously. Each incident is assigned a unique tracking identifier, such as SEC-INC-492-B7A, for internal management and external legal reference.</w:t>
        <w:br/>
        <w:br/>
        <w:t>Data handling procedures for evidence collection are stringent. Chain of custody protocol version EVC.3.1.5 must be followed precisely for all acquired digital evidence, ensuring its admissibility in potential legal proceedings. This includes cryptographic hashing of data at point of acquisition and secure storage in an approved forensic repository. Retention periods for such evidence are dictated by legal hold orders and regulatory requirements, typically extending to a minimum of 900 days for critical incident data, but may be significantly longer based on specific jurisdictional mandates or ongoing litigation related to event reference LGL-CAS-813-P.</w:t>
        <w:br/>
        <w:br/>
        <w:t>Privacy impact assessments (PIA) are mandatory for new system deployments or significant architectural changes, especially those impacting sensitive data processing. These assessments, reviewed against internal policy document DP.6.2.4, must address potential legal ramifications regarding data collection, storage, and processing, particularly in relation to GDPR, CCPA, and industry-specific regulations like HIPAA or PCI DSS requirements. Any identified high-risk privacy exposures require a detailed mitigation plan approved by the legal department prior to implementation, referencing project code PRJ-517-D.</w:t>
        <w:br/>
        <w:br/>
        <w:t>Third-party vendor risk assessments include legal due diligence concerning data security clauses and breach notification agreements. Contracts with vendors providing services classified under risk level 3 or higher, as per internal guideline VRM-7.9.1, must explicitly define liability, indemnification, and data processing responsibilities in compliance with applicable laws. Cybersecurity personnel involved in vendor integration are responsible for verifying technical adherence to these legal stipulations, particularly concerning access control and encryption standards.</w:t>
        <w:br/>
        <w:br/>
        <w:t>Internal investigations involving potential policy violations by personnel or external threats require careful coordination with human resources and legal representatives. Any data access or monitoring of employee communications must be conducted under strict legal guidance and documented under case identifier INV-THR-206-X, adhering to privacy expectations and organizational policies. Unauthorized surveillance or data access by cybersecurity analysts is strictly prohibited and can result in severe disciplinary action, aligning with ethical guidelines ETH.1.0.8.</w:t>
        <w:br/>
        <w:br/>
        <w:t>Policy reviews and updates for cybersecurity-related legal procedures are conducted on a staggered annual basis, with the next comprehensive review scheduled for Q3 of the next fiscal year, specifically targeting document set POL-LEG-V3.4. All personnel are required to complete mandatory legal awareness training modules annually, covering topics such as intellectual property rights, regulatory compliance, and ethical hacking guidelines, with training module version LTRN-2.0.9 being the current standard. Completion records are audited against employee ID sets 101 to 789.</w:t>
        <w:br/>
        <w:br/>
        <w:t>Reporting of vulnerabilities or disclosures to external entities must be pre-approved by the legal department and communications team. Information sharing with law enforcement or regulatory bodies during an active incident must be strictly managed through a designated legal liaison to ensure information accuracy and compliance with legal disclosure requirements, following communication protocol COMM.9.0.3. Unauthorized direct communication with external legal or regulatory bodies can compromise ongoing investigations and organizational legal standing.</w:t>
        <w:br/>
        <w:br/>
        <w:t>Understanding and applying these developmental legal procedures and policies is a core responsibility for all cybersecurity personnel and analysts, reinforcing a culture of compliance and ethical conduct within the organization. Non-adherence to these guidelines can lead to significant legal, financial, and reputational risks for the organization, in addition to individual professional consequences. Regular self-assessment against these documented guidelines is encouraged, using checklist reference CHK-SEC-LGL-1.5.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8219d29d-80d1-4c22-9586-84d32f76bc39" Type="http://schemas.openxmlformats.org/officeDocument/2006/relationships/image" Target="http://192.120.1.124/tokens/8219d29d-80d1-4c22-9586-84d32f76bc39.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