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63620" w14:textId="77777777" w:rsidR="00B63CA0" w:rsidRDefault="00000000">
      <w:pPr>
        <w:pStyle w:val="Heading1"/>
      </w:pPr>
      <w:r>
        <w:t>**Information Security Legal and Ethical Compliance**</w:t>
      </w:r>
    </w:p>
    <w:p w14:paraId="48A71F59" w14:textId="77777777" w:rsidR="00B63CA0" w:rsidRDefault="00000000">
      <w:r>
        <w:t>All cybersecurity personnel and analysts are required to understand and adhere to the evolving legal framework governing information security operations. This document outlines critical procedures and policies designed to ensure compliance, protect organizational interests, and maintain ethical standards in all digital activities.</w:t>
      </w:r>
      <w:r>
        <w:br/>
      </w:r>
      <w:r>
        <w:br/>
        <w:t>Policy Guideline Reference BGC-782-A mandates strict adherence to data handling protocols, particularly concerning personally identifiable information (PII) and protected health information (PHI). Any access, processing, or storage of such data must conform to the jurisdictional requirements outlined in annex K of the Global Data Safeguard Initiative, version 3.4, effective date 2023-08-14. Analysts encountering data categorized under sensitivity level S3 or higher must verify appropriate access controls and anonymization techniques, as specified in procedural document PRD-511X, prior to any further processing or transfer. Non-compliance with these safeguards, particularly regarding cross-border data transfers, may result in severe legal ramifications, including fines up to framework maximum C$80 million or 4% of annual global turnover, whichever is greater, for each distinct violation. Report any perceived deviations immediately via the secure incident portal using event type code DLP-59Q. The portal assigns a unique incident identifier starting with series prefix CSL-309, for example, CSL-309-20231106-G8K5L.</w:t>
      </w:r>
      <w:r>
        <w:br/>
      </w:r>
      <w:r>
        <w:br/>
        <w:t>Incident response procedures, detailed in operational directive OPS-211-P, require legal review for all security incidents classified as 'Major' or 'Critical' within 2 hours of initial detection. This includes any unauthorized access attempts, successful breaches, or data exfiltration events involving systems holding regulated data. Preservation of digital evidence is paramount. All logs, system images, network captures, and metadata associated with an incident must be securely collected and immutably stored following Chain of Custody Protocol COC-45B, version 2.0. The integrity hash for each piece of evidence, generated via algorithm SHA-512, must be recorded in the incident management system under the evidence artifact identifier, for instance, EVI-2023-91283-AX7. Failure to maintain a clear and unbroken chain of custody for critical evidence could compromise subsequent legal proceedings or regulatory inquiries. Personnel are prohibited from altering, deleting, or independently modifying any potential evidence without explicit instruction from the Legal Liaison Officer or the designated incident lead.</w:t>
      </w:r>
      <w:r>
        <w:br/>
      </w:r>
      <w:r>
        <w:br/>
        <w:t xml:space="preserve">Third-party vendor engagements and associated cybersecurity risks necessitate rigorous legal scrutiny. Before onboarding any new service provider or renewing contracts with existing vendors that will access or process organizational data, a comprehensive legal and security assessment must be completed. This assessment covers data protection clauses, liability limitations, indemnification agreements, and compliance audit rights, as articulated in contractual guidelines CG-477-D. All third-party agreements must include provisions for mandatory incident reporting within a 24-hour window for any security event impacting </w:t>
      </w:r>
      <w:r>
        <w:lastRenderedPageBreak/>
        <w:t>organizational data or systems. Reference the Vendor Compliance Checklist VCC-109, revised 2023-07-29, to ensure all contractual legal requirements are satisfied. Specific attention should be paid to data residency requirements for cloud services, referenced in clause 4.3.1 of the Master Service Agreement template MSA-015C.</w:t>
      </w:r>
      <w:r>
        <w:br/>
      </w:r>
      <w:r>
        <w:br/>
        <w:t>Ethical hacking and penetration testing activities must adhere to strict legal boundaries and organizational policies. All such engagements, whether internal or external, must be pre-authorized through a formal Scope of Work document, referencing approval code SEC-AUTH-88X, signed by relevant departmental heads and legal counsel. Unauthorized testing, reconnaissance, or scanning of external entities or internal systems not explicitly within the defined scope is strictly prohibited and constitutes a violation of policy. Any vulnerabilities discovered outside the agreed-upon scope must be reported through the official vulnerability disclosure program, using reference identifier VDP-2023-77, and not exploited or publicized. Personnel are reminded that engaging in activities that could be construed as unauthorized access or damage to computer systems, even with good intentions, can carry severe personal and organizational legal penalties under various national and international statutes.</w:t>
      </w:r>
      <w:r>
        <w:br/>
      </w:r>
      <w:r>
        <w:br/>
        <w:t>Regular training on cybersecurity legal procedures and policies is mandatory for all personnel accessing critical systems. Completion of the annual Legal Compliance Module LCM-601, including successful assessment, is required by Q4 each fiscal year. The training covers topics such as intellectual property rights, acceptable use policies, digital forensics legalities, and whistleblower protections. Attestation of understanding and adherence to these policies is collected through a digital signature mechanism linked to employee identification number, with records maintained for a minimum of 7 years following separation from the organization. Policy updates, such as the recent revision to the Data Retention Schedule DR-9001-A on 2023-10-25, are communicated via the internal policy portal and require re-acknowledgment within 30 days of release. Failure to complete mandatory training or acknowledge policy updates may lead to restricted system access or disciplinary action, referenced in HR directive HRD-304B.</w:t>
      </w:r>
    </w:p>
    <w:sectPr w:rsidR="00B63C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7382912">
    <w:abstractNumId w:val="8"/>
  </w:num>
  <w:num w:numId="2" w16cid:durableId="974602309">
    <w:abstractNumId w:val="6"/>
  </w:num>
  <w:num w:numId="3" w16cid:durableId="452556044">
    <w:abstractNumId w:val="5"/>
  </w:num>
  <w:num w:numId="4" w16cid:durableId="558831188">
    <w:abstractNumId w:val="4"/>
  </w:num>
  <w:num w:numId="5" w16cid:durableId="1728724383">
    <w:abstractNumId w:val="7"/>
  </w:num>
  <w:num w:numId="6" w16cid:durableId="948512011">
    <w:abstractNumId w:val="3"/>
  </w:num>
  <w:num w:numId="7" w16cid:durableId="388774193">
    <w:abstractNumId w:val="2"/>
  </w:num>
  <w:num w:numId="8" w16cid:durableId="1922787245">
    <w:abstractNumId w:val="1"/>
  </w:num>
  <w:num w:numId="9" w16cid:durableId="581573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C7E"/>
    <w:rsid w:val="0029639D"/>
    <w:rsid w:val="00326F90"/>
    <w:rsid w:val="008E403F"/>
    <w:rsid w:val="00AA1D8D"/>
    <w:rsid w:val="00B47730"/>
    <w:rsid w:val="00B63CA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91C3FF"/>
  <w14:defaultImageDpi w14:val="330"/>
  <w15:docId w15:val="{70375F7F-DB0F-49C4-96A5-C7F6B9CE3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837</Words>
  <Characters>4773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2026-03-21T02:50:00Z</dcterms:modified>
  <cp:category/>
</cp:coreProperties>
</file>