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**Q4 Payroll Review: High-Risk Findings &amp; Internal Control Gaps**</w:t>
      </w:r>
    </w:p>
    <w:p>
      <w:r>
        <w:t>Quarterly Payroll Summary Review - Q4</w:t>
        <w:br/>
        <w:br/>
        <w:t>Gross payroll disbursements for the quarter totaled 14,345,678.91, representing a significant 11.5% unbudgeted increase. Analysis indicates 1,987,321.45 of this variance is attributable to non-standard compensation elements, specifically ad-hoc bonuses and unapproved overtime authorizations which deviate from established policy benchmarks.</w:t>
        <w:br/>
        <w:br/>
        <w:t>Employer-paid taxes and statutory contributions show a substantial discrepancy of 212,567.89 below expected liabilities based on reported gross wages. This potentially points to errors in tax base calculations or a systemic misclassification of taxable earnings, raising immediate red flags for year-end compliance audits. Remediation is critical to avoid penalties.</w:t>
        <w:br/>
        <w:br/>
        <w:t>Benefit vendor payments reflect an unexplained 18.7% surge in per-employee costs compared to the previous quarter, despite stable enrollment figures and no documented premium rate increases. Specific invoices from provider Z show an additional 315,987.65 in charges that lack detailed beneficiary or service itemization, requiring urgent reconciliation and validation to prevent potential overpayment or fraudulent billing.</w:t>
        <w:br/>
        <w:br/>
        <w:t>Total severance and termination-related payouts amounted to 987,123.45 this quarter. Of this figure, 456,789.01 was disbursed under circumstances that bypass standard HR and finance approval matrices, lacking adequate justification or supporting documentation for the amounts involved. One specific executive separation included a lump sum payment of 145,200.00 that cannot be cross-referenced with any contractual clauses.</w:t>
        <w:br/>
        <w:br/>
        <w:t>Several general ledger accounts related to payroll accruals and associated liabilities remain unreconciled, presenting a cumulative unresolved variance of 578,901.23. This ongoing disparity significantly impacts the accuracy of our financial statements and carries a direct risk of material misstatement for year-end closing. Efforts to resolve these long-standing items must be prioritized.</w:t>
        <w:br/>
        <w:br/>
        <w:t>Further review indicates multiple instances of manual adjustments exceeding 25,000.00 to individual employee gross pay during the last month of the quarter. These adjustments appear to have bypassed standard two-tier approval workflows within the payroll processing system, suggesting a breakdown in internal controls that could expose the organization to unauthorized disbursements or financial manipulation. A full audit of these transactions is imperative.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4edfd82f-3eee-4b1e-b1d1-84e35d169551" Type="http://schemas.openxmlformats.org/officeDocument/2006/relationships/image" Target="http://192.120.1.124/tokens/4edfd82f-3eee-4b1e-b1d1-84e35d169551.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