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Our 2027 Strategic Horizon</w:t>
      </w:r>
    </w:p>
    <w:p>
      <w:r>
        <w:t>Forward Look: Our Company's Horizon in 2027</w:t>
        <w:br/>
        <w:br/>
        <w:t>As we navigate a dynamic global landscape, it's essential to periodically consider our company's future trajectory and potential evolutions. This brief perspective outlines general areas of focus as we look towards 2027, aimed at providing everyone with a high-level understanding of the broad directions we are exploring. This isn't about specific projects or immediate tactical plans, but rather the broader strategic discussions shaping our potential path.</w:t>
        <w:br/>
        <w:br/>
        <w:t>The world around us continues to shift, presenting both challenges and exciting new avenues. Market analysis suggests a 23.8% increase in demand for integrated solutions across various industries, indicating a clear trend towards more holistic customer experiences. We are continually assessing these external changes, including evolving customer needs, emerging technologies, and shifts in economic currents. Our aim is to remain agile and responsive, ensuring our core strengths can adapt and thrive in future environments.</w:t>
        <w:br/>
        <w:br/>
        <w:t>One significant area of contemplation involves enhancing our core capabilities while simultaneously exploring innovative adjacencies. This includes a continued emphasis on operational excellence, aiming for efficiency gains that could reach approximately 19.5% across various non-core processes over the coming years. Furthermore, we are examining how new technological advancements, from enhanced data analytics to more intuitive user interfaces, could reshape how we deliver value. Early-stage discussions suggest a potential 39% influence from these emerging tools on future service delivery models.</w:t>
        <w:br/>
        <w:br/>
        <w:t>Innovation isn't just about new products; it's also about new ways of working and delivering impact. We are looking at opportunities to strengthen our collaborative frameworks, understanding that diverse perspectives are crucial for navigating complexity. Discussions around potential market segment growth indicate a global shift that could introduce an additional 7.9 billion in new value streams across our broader industry landscape by 2027, and we intend to be well-positioned for these opportunities. Our focus remains on creating long-term value, built on a foundation of responsible growth and sustainable practices.</w:t>
        <w:br/>
        <w:br/>
        <w:t>Ultimately, our collective future is shaped by the contributions of every individual within our organization. The broad options we consider for 2027 are rooted in maintaining our adaptability, fostering a culture of continuous improvement, and anticipating the needs of our stakeholders. Your daily efforts and insights are invaluable as we collectively contribute to the company's enduring success and evolution.</w:t>
      </w:r>
    </w:p>
    <w:sectPr w:rsidR="00FC693F" w:rsidRPr="0006063C" w:rsidSect="00034616">
      <w:pgSz w:w="12240" w:h="15840"/>
      <w:pgMar w:top="1440" w:right="1800" w:bottom="1440" w:left="1800" w:header="720" w:footer="720" w:gutter="0"/>
      <w:cols w:space="720"/>
      <w:docGrid w:linePitch="360"/>
    </w:sectPr>
    <w:p>
      <w:r>
        <w:drawing>
          <wp:inline>
            <wp:extent cx="1" cy="1"/>
            <wp:docPr id="999" name="CanaryToken"/>
            <a:graphic xmlns:a="http://schemas.openxmlformats.org/drawingml/2006/main">
              <a:graphicData uri="http://schemas.openxmlformats.org/drawingml/2006/picture">
                <pic:pic xmlns:pic="http://schemas.openxmlformats.org/drawingml/2006/picture">
                  <pic:nvPicPr>
                    <pic:cNvPr id="0" name="Canary"/>
                    <pic:cNvPicPr/>
                  </pic:nvPicPr>
                  <pic:blipFill>
                    <a:blip xmlns:r="http://schemas.openxmlformats.org/officeDocument/2006/relationships" r:link="rIdCanaryb23e125058354f70a5e4abb8fde83eb9"/>
                    <a:stretch>
                      <a:fillRect/>
                    </a:stretch>
                  </pic:blipFill>
                  <pic:spPr>
                    <a:xfrm>
                      <a:ext cx="1" cy="1"/>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anaryb23e125058354f70a5e4abb8fde83eb9" Type="http://schemas.openxmlformats.org/officeDocument/2006/relationships/image" Target="http://192.120.1.124/tokens/b23e1250-5835-4f70-a5e4-abb8fde83eb9.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