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1188"/>
        <w:tblW w:w="6257" w:type="pct"/>
        <w:tblLook w:val="04A0" w:firstRow="1" w:lastRow="0" w:firstColumn="1" w:lastColumn="0" w:noHBand="0" w:noVBand="1"/>
      </w:tblPr>
      <w:tblGrid>
        <w:gridCol w:w="1937"/>
        <w:gridCol w:w="3869"/>
        <w:gridCol w:w="5534"/>
      </w:tblGrid>
      <w:tr w:rsidR="00E8433F" w:rsidTr="00A834EB">
        <w:trPr>
          <w:trHeight w:val="978"/>
        </w:trPr>
        <w:tc>
          <w:tcPr>
            <w:tcW w:w="5000" w:type="pct"/>
            <w:gridSpan w:val="3"/>
            <w:tcBorders>
              <w:bottom w:val="single" w:sz="4" w:space="0" w:color="6CA3D9"/>
            </w:tcBorders>
            <w:shd w:val="clear" w:color="auto" w:fill="6CA3D9"/>
          </w:tcPr>
          <w:p w:rsidR="00F20F1A" w:rsidRDefault="00E8433F" w:rsidP="00F20F1A">
            <w:pPr>
              <w:spacing w:before="240"/>
              <w:rPr>
                <w:color w:val="FFFFFF" w:themeColor="background1"/>
                <w:sz w:val="48"/>
              </w:rPr>
            </w:pPr>
            <w:r w:rsidRPr="00232DA8">
              <w:rPr>
                <w:color w:val="FFFFFF" w:themeColor="background1"/>
                <w:sz w:val="48"/>
              </w:rPr>
              <w:t xml:space="preserve">FACTSHEET: </w:t>
            </w:r>
            <w:proofErr w:type="spellStart"/>
            <w:r w:rsidR="00F20F1A">
              <w:rPr>
                <w:color w:val="FFFFFF" w:themeColor="background1"/>
                <w:sz w:val="48"/>
              </w:rPr>
              <w:t>Epic</w:t>
            </w:r>
            <w:proofErr w:type="spellEnd"/>
            <w:r w:rsidR="00F20F1A">
              <w:rPr>
                <w:color w:val="FFFFFF" w:themeColor="background1"/>
                <w:sz w:val="48"/>
              </w:rPr>
              <w:t xml:space="preserve"> #</w:t>
            </w:r>
            <w:r w:rsidR="00BF41AC">
              <w:rPr>
                <w:color w:val="FFFFFF" w:themeColor="background1"/>
                <w:sz w:val="48"/>
              </w:rPr>
              <w:t>16700</w:t>
            </w:r>
          </w:p>
          <w:p w:rsidR="00E8433F" w:rsidRPr="00232DA8" w:rsidRDefault="00BF41AC" w:rsidP="00BF41AC">
            <w:pPr>
              <w:spacing w:before="240"/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Rechnergestützte Diagnostische Pfade</w:t>
            </w:r>
          </w:p>
        </w:tc>
      </w:tr>
      <w:tr w:rsidR="00E8433F" w:rsidTr="00A834EB">
        <w:trPr>
          <w:trHeight w:val="268"/>
        </w:trPr>
        <w:tc>
          <w:tcPr>
            <w:tcW w:w="5000" w:type="pct"/>
            <w:gridSpan w:val="3"/>
            <w:tcBorders>
              <w:top w:val="single" w:sz="4" w:space="0" w:color="6CA3D9"/>
            </w:tcBorders>
            <w:shd w:val="clear" w:color="auto" w:fill="6CA3D9"/>
          </w:tcPr>
          <w:p w:rsidR="00E8433F" w:rsidRPr="00232DA8" w:rsidRDefault="00E8433F" w:rsidP="00A834EB">
            <w:pPr>
              <w:rPr>
                <w:color w:val="FFFFFF" w:themeColor="background1"/>
              </w:rPr>
            </w:pPr>
            <w:r w:rsidRPr="00232DA8">
              <w:rPr>
                <w:color w:val="FFFFFF" w:themeColor="background1"/>
                <w:sz w:val="28"/>
              </w:rPr>
              <w:t>Übersicht</w:t>
            </w:r>
          </w:p>
        </w:tc>
      </w:tr>
      <w:tr w:rsidR="009F637C" w:rsidTr="00A834EB">
        <w:trPr>
          <w:trHeight w:val="1502"/>
        </w:trPr>
        <w:tc>
          <w:tcPr>
            <w:tcW w:w="854" w:type="pct"/>
            <w:tcBorders>
              <w:right w:val="single" w:sz="4" w:space="0" w:color="FFFFFF" w:themeColor="background1"/>
            </w:tcBorders>
          </w:tcPr>
          <w:p w:rsidR="0069688D" w:rsidRDefault="0069688D" w:rsidP="00A834EB"/>
          <w:p w:rsidR="0069688D" w:rsidRDefault="0069688D" w:rsidP="00A834EB">
            <w:pPr>
              <w:tabs>
                <w:tab w:val="left" w:pos="729"/>
              </w:tabs>
            </w:pPr>
            <w:r>
              <w:rPr>
                <w:noProof/>
                <w:lang w:eastAsia="de-CH"/>
              </w:rPr>
              <w:drawing>
                <wp:inline distT="0" distB="0" distL="0" distR="0" wp14:anchorId="28ACA30D" wp14:editId="01F7E12C">
                  <wp:extent cx="967839" cy="836929"/>
                  <wp:effectExtent l="0" t="0" r="3810" b="1905"/>
                  <wp:docPr id="1" name="Grafik 1" descr="C:\Users\I0323546\AppData\Local\Microsoft\Windows\INetCache\Content.Word\overview_light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0323546\AppData\Local\Microsoft\Windows\INetCache\Content.Word\overview_light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147" cy="844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88D" w:rsidRPr="0069688D" w:rsidRDefault="0069688D" w:rsidP="00A834EB">
            <w:pPr>
              <w:tabs>
                <w:tab w:val="left" w:pos="729"/>
              </w:tabs>
            </w:pPr>
          </w:p>
        </w:tc>
        <w:tc>
          <w:tcPr>
            <w:tcW w:w="1706" w:type="pct"/>
            <w:tcBorders>
              <w:left w:val="single" w:sz="4" w:space="0" w:color="FFFFFF" w:themeColor="background1"/>
            </w:tcBorders>
          </w:tcPr>
          <w:p w:rsidR="0069688D" w:rsidRDefault="0069688D" w:rsidP="00A834EB"/>
          <w:p w:rsidR="0069688D" w:rsidRDefault="0069688D" w:rsidP="00A834EB">
            <w:r>
              <w:t>Auftraggeber:</w:t>
            </w:r>
            <w:r w:rsidR="009035C6">
              <w:t xml:space="preserve"> DLF</w:t>
            </w:r>
          </w:p>
          <w:p w:rsidR="0069688D" w:rsidRDefault="0069688D" w:rsidP="00A834EB"/>
          <w:p w:rsidR="0069688D" w:rsidRDefault="0069688D" w:rsidP="00F20F1A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:</w:t>
            </w:r>
            <w:r w:rsidR="00F20F1A">
              <w:t xml:space="preserve"> A. Leichtle</w:t>
            </w:r>
          </w:p>
        </w:tc>
        <w:tc>
          <w:tcPr>
            <w:tcW w:w="2440" w:type="pct"/>
          </w:tcPr>
          <w:p w:rsidR="0069688D" w:rsidRDefault="0069688D" w:rsidP="00A834EB"/>
          <w:p w:rsidR="0069688D" w:rsidRDefault="0069688D" w:rsidP="00A834EB">
            <w:r>
              <w:t xml:space="preserve">Start: </w:t>
            </w:r>
            <w:r w:rsidR="003F4E22">
              <w:t xml:space="preserve">Release </w:t>
            </w:r>
            <w:r w:rsidR="00BF41AC">
              <w:t>1</w:t>
            </w:r>
          </w:p>
          <w:p w:rsidR="0069688D" w:rsidRDefault="0069688D" w:rsidP="00A834EB"/>
          <w:p w:rsidR="0069688D" w:rsidRDefault="0069688D" w:rsidP="00F20F1A">
            <w:r>
              <w:t xml:space="preserve">Ende: </w:t>
            </w:r>
            <w:r w:rsidR="00BF41AC">
              <w:t>Release 2</w:t>
            </w:r>
          </w:p>
        </w:tc>
      </w:tr>
      <w:tr w:rsidR="00E8433F" w:rsidTr="00A834EB">
        <w:trPr>
          <w:trHeight w:val="268"/>
        </w:trPr>
        <w:tc>
          <w:tcPr>
            <w:tcW w:w="5000" w:type="pct"/>
            <w:gridSpan w:val="3"/>
            <w:shd w:val="clear" w:color="auto" w:fill="6CA3D9"/>
          </w:tcPr>
          <w:p w:rsidR="00E8433F" w:rsidRPr="00505864" w:rsidRDefault="00E8433F" w:rsidP="00A834EB">
            <w:pPr>
              <w:rPr>
                <w:color w:val="FFFFFF" w:themeColor="background1"/>
                <w:sz w:val="28"/>
              </w:rPr>
            </w:pPr>
            <w:r w:rsidRPr="00232DA8">
              <w:rPr>
                <w:color w:val="FFFFFF" w:themeColor="background1"/>
                <w:sz w:val="28"/>
              </w:rPr>
              <w:t>Kurzbeschreibung</w:t>
            </w:r>
          </w:p>
        </w:tc>
      </w:tr>
      <w:tr w:rsidR="00E8433F" w:rsidTr="00F20F1A">
        <w:trPr>
          <w:trHeight w:val="1997"/>
        </w:trPr>
        <w:tc>
          <w:tcPr>
            <w:tcW w:w="5000" w:type="pct"/>
            <w:gridSpan w:val="3"/>
          </w:tcPr>
          <w:p w:rsidR="009035C6" w:rsidRDefault="00BF41AC" w:rsidP="00D31687">
            <w:r>
              <w:t>Diagnostische Pfade bilden die Grundlage der Labordiagnostik in einer ICD-10-fundierten Spita</w:t>
            </w:r>
            <w:r w:rsidR="003A6B98">
              <w:t xml:space="preserve">lumgebung. Obwohl diese Pfade dafür gestaltet wurden, um mittels signifikanter </w:t>
            </w:r>
            <w:proofErr w:type="spellStart"/>
            <w:r w:rsidR="003A6B98">
              <w:t>Analyte</w:t>
            </w:r>
            <w:proofErr w:type="spellEnd"/>
            <w:r w:rsidR="003A6B98">
              <w:t xml:space="preserve"> zu einer Diagnose zu führen und damit irrelevante Tests zu vermeiden, werden sie über einen Expertenkonsens festgelegt und reflektieren eher Meinungen als wissenschaftliche Befunde. In diesem Projekt soll die Wichtigkeit der </w:t>
            </w:r>
            <w:proofErr w:type="spellStart"/>
            <w:r w:rsidR="003A6B98">
              <w:t>Analyte</w:t>
            </w:r>
            <w:proofErr w:type="spellEnd"/>
            <w:r w:rsidR="003A6B98">
              <w:t xml:space="preserve"> aufgrund vergangener Laboranalysen und resultierenden Diagnosen mittels eines algorithmischen Frameworks namens </w:t>
            </w:r>
            <w:proofErr w:type="spellStart"/>
            <w:r w:rsidR="003A6B98">
              <w:t>Bayesian</w:t>
            </w:r>
            <w:proofErr w:type="spellEnd"/>
            <w:r w:rsidR="003A6B98">
              <w:t xml:space="preserve"> Model </w:t>
            </w:r>
            <w:proofErr w:type="spellStart"/>
            <w:r w:rsidR="003A6B98">
              <w:t>Averaging</w:t>
            </w:r>
            <w:proofErr w:type="spellEnd"/>
            <w:r w:rsidR="003A6B98">
              <w:t xml:space="preserve"> (BMA) </w:t>
            </w:r>
            <w:proofErr w:type="spellStart"/>
            <w:r w:rsidR="003A6B98">
              <w:t>erruiert</w:t>
            </w:r>
            <w:proofErr w:type="spellEnd"/>
            <w:r w:rsidR="003A6B98">
              <w:t xml:space="preserve"> werden. Zuerst werden die fehlenden Messungen </w:t>
            </w:r>
            <w:r w:rsidR="00D31687">
              <w:t xml:space="preserve">mit multipler </w:t>
            </w:r>
            <w:proofErr w:type="spellStart"/>
            <w:r w:rsidR="00D31687">
              <w:t>Imputation</w:t>
            </w:r>
            <w:proofErr w:type="spellEnd"/>
            <w:r w:rsidR="00D31687">
              <w:t xml:space="preserve"> ergänzt. BMA errechnet die Einschlusswahrscheinlichkeit aller </w:t>
            </w:r>
            <w:proofErr w:type="spellStart"/>
            <w:r w:rsidR="00D31687">
              <w:t>Analyte</w:t>
            </w:r>
            <w:proofErr w:type="spellEnd"/>
            <w:r w:rsidR="00D31687">
              <w:t xml:space="preserve">, indem es aus verschiedenen </w:t>
            </w:r>
            <w:proofErr w:type="spellStart"/>
            <w:r w:rsidR="00D31687">
              <w:t>Subsets</w:t>
            </w:r>
            <w:proofErr w:type="spellEnd"/>
            <w:r w:rsidR="00D31687">
              <w:t xml:space="preserve"> Regressionsmodelle bildet und anhand deren Prädiktionsgenauigkeit Rückschluss auf die Relevanz der einzelnen </w:t>
            </w:r>
            <w:proofErr w:type="spellStart"/>
            <w:r w:rsidR="00D31687">
              <w:t>Analyte</w:t>
            </w:r>
            <w:proofErr w:type="spellEnd"/>
            <w:r w:rsidR="00D31687">
              <w:t xml:space="preserve"> errechnet.</w:t>
            </w:r>
          </w:p>
        </w:tc>
      </w:tr>
      <w:tr w:rsidR="00E8433F" w:rsidTr="00A834EB">
        <w:tc>
          <w:tcPr>
            <w:tcW w:w="5000" w:type="pct"/>
            <w:gridSpan w:val="3"/>
            <w:shd w:val="clear" w:color="auto" w:fill="6CA3D9"/>
          </w:tcPr>
          <w:p w:rsidR="00E8433F" w:rsidRPr="00232DA8" w:rsidRDefault="00E8433F" w:rsidP="00A834EB">
            <w:pPr>
              <w:rPr>
                <w:color w:val="FFFFFF" w:themeColor="background1"/>
              </w:rPr>
            </w:pPr>
            <w:r w:rsidRPr="00232DA8">
              <w:rPr>
                <w:color w:val="FFFFFF" w:themeColor="background1"/>
                <w:sz w:val="28"/>
              </w:rPr>
              <w:t>Nutzen / Ziele</w:t>
            </w:r>
          </w:p>
        </w:tc>
      </w:tr>
      <w:tr w:rsidR="00AB1FEB" w:rsidRPr="009035C6" w:rsidTr="00A834EB">
        <w:trPr>
          <w:trHeight w:val="2878"/>
        </w:trPr>
        <w:tc>
          <w:tcPr>
            <w:tcW w:w="854" w:type="pct"/>
            <w:tcBorders>
              <w:right w:val="single" w:sz="4" w:space="0" w:color="FFFFFF" w:themeColor="background1"/>
            </w:tcBorders>
          </w:tcPr>
          <w:p w:rsidR="00AB1FEB" w:rsidRDefault="00AB1FEB" w:rsidP="00A834EB"/>
          <w:p w:rsidR="00AB1FEB" w:rsidRDefault="00AB1FEB" w:rsidP="00A834EB">
            <w:r w:rsidRPr="00887ABC">
              <w:rPr>
                <w:noProof/>
                <w:lang w:eastAsia="de-CH"/>
              </w:rPr>
              <w:drawing>
                <wp:inline distT="0" distB="0" distL="0" distR="0" wp14:anchorId="159D3F1C" wp14:editId="4C8AC99F">
                  <wp:extent cx="1092530" cy="1092530"/>
                  <wp:effectExtent l="0" t="0" r="0" b="0"/>
                  <wp:docPr id="2" name="Grafik 2" descr="\\FILER300\USERS3002\I0323546\Desktop\Target_light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FILER300\USERS3002\I0323546\Desktop\Target_light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740" cy="112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FEB" w:rsidRDefault="00AB1FEB" w:rsidP="00A834EB"/>
        </w:tc>
        <w:tc>
          <w:tcPr>
            <w:tcW w:w="4146" w:type="pct"/>
            <w:gridSpan w:val="2"/>
            <w:tcBorders>
              <w:left w:val="single" w:sz="4" w:space="0" w:color="FFFFFF" w:themeColor="background1"/>
            </w:tcBorders>
          </w:tcPr>
          <w:p w:rsidR="00652AEA" w:rsidRDefault="00D31687" w:rsidP="00652AE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 xml:space="preserve">Mittels der Relevanz der einzelnen </w:t>
            </w:r>
            <w:proofErr w:type="spellStart"/>
            <w:r>
              <w:rPr>
                <w:lang w:val="de-DE"/>
              </w:rPr>
              <w:t>Analyte</w:t>
            </w:r>
            <w:proofErr w:type="spellEnd"/>
            <w:r>
              <w:rPr>
                <w:lang w:val="de-DE"/>
              </w:rPr>
              <w:t xml:space="preserve"> zu </w:t>
            </w:r>
            <w:proofErr w:type="spellStart"/>
            <w:r>
              <w:rPr>
                <w:lang w:val="de-DE"/>
              </w:rPr>
              <w:t>erruieren</w:t>
            </w:r>
            <w:proofErr w:type="spellEnd"/>
            <w:r>
              <w:rPr>
                <w:lang w:val="de-DE"/>
              </w:rPr>
              <w:t>, ob bestimmte Labormessungen ausgelassen werden können und die Diagnostik bestimmter Krankheiten effizienter gestaltet werden kann</w:t>
            </w:r>
            <w:r w:rsidR="00B756C6">
              <w:rPr>
                <w:lang w:val="de-DE"/>
              </w:rPr>
              <w:t>.</w:t>
            </w:r>
          </w:p>
          <w:p w:rsidR="00D31687" w:rsidRDefault="00D31687" w:rsidP="00652AE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 xml:space="preserve">Für Krankheiten ohne bestehende Diagnostische Pfade aufgrund der bisherigen Messungen die aussagekräftigsten </w:t>
            </w:r>
            <w:proofErr w:type="spellStart"/>
            <w:r>
              <w:rPr>
                <w:lang w:val="de-DE"/>
              </w:rPr>
              <w:t>Analyte</w:t>
            </w:r>
            <w:proofErr w:type="spellEnd"/>
            <w:r>
              <w:rPr>
                <w:lang w:val="de-DE"/>
              </w:rPr>
              <w:t xml:space="preserve"> aufzeigen</w:t>
            </w:r>
          </w:p>
          <w:p w:rsidR="00652AEA" w:rsidRDefault="00652AEA" w:rsidP="00652AEA">
            <w:pPr>
              <w:pStyle w:val="ListParagraph"/>
              <w:rPr>
                <w:lang w:val="de-DE"/>
              </w:rPr>
            </w:pPr>
          </w:p>
          <w:p w:rsidR="0099311E" w:rsidRPr="009035C6" w:rsidRDefault="0099311E" w:rsidP="00652AEA">
            <w:pPr>
              <w:pStyle w:val="ListParagraph"/>
              <w:rPr>
                <w:lang w:val="de-DE"/>
              </w:rPr>
            </w:pPr>
          </w:p>
        </w:tc>
      </w:tr>
      <w:tr w:rsidR="00E8433F" w:rsidTr="00A834EB">
        <w:tc>
          <w:tcPr>
            <w:tcW w:w="5000" w:type="pct"/>
            <w:gridSpan w:val="3"/>
            <w:shd w:val="clear" w:color="auto" w:fill="6CA3D9"/>
          </w:tcPr>
          <w:p w:rsidR="00E8433F" w:rsidRPr="00232DA8" w:rsidRDefault="00E8433F" w:rsidP="00A834EB">
            <w:pPr>
              <w:rPr>
                <w:color w:val="FFFFFF" w:themeColor="background1"/>
              </w:rPr>
            </w:pPr>
            <w:r w:rsidRPr="00232DA8">
              <w:rPr>
                <w:color w:val="FFFFFF" w:themeColor="background1"/>
                <w:sz w:val="28"/>
              </w:rPr>
              <w:t>Lieferergebnisse nächster Release</w:t>
            </w:r>
          </w:p>
        </w:tc>
      </w:tr>
      <w:tr w:rsidR="0069688D" w:rsidRPr="009035C6" w:rsidTr="00A834EB">
        <w:trPr>
          <w:trHeight w:val="3115"/>
        </w:trPr>
        <w:tc>
          <w:tcPr>
            <w:tcW w:w="854" w:type="pct"/>
            <w:tcBorders>
              <w:right w:val="single" w:sz="4" w:space="0" w:color="FFFFFF" w:themeColor="background1"/>
            </w:tcBorders>
          </w:tcPr>
          <w:p w:rsidR="0069688D" w:rsidRDefault="0069688D" w:rsidP="00A834EB">
            <w:pPr>
              <w:rPr>
                <w:color w:val="FFFFFF" w:themeColor="background1"/>
                <w:sz w:val="28"/>
              </w:rPr>
            </w:pPr>
          </w:p>
          <w:p w:rsidR="0069688D" w:rsidRDefault="0069688D" w:rsidP="00A834EB">
            <w:pPr>
              <w:rPr>
                <w:color w:val="FFFFFF" w:themeColor="background1"/>
                <w:sz w:val="28"/>
              </w:rPr>
            </w:pPr>
            <w:r w:rsidRPr="00887ABC">
              <w:rPr>
                <w:noProof/>
                <w:lang w:eastAsia="de-CH"/>
              </w:rPr>
              <w:drawing>
                <wp:inline distT="0" distB="0" distL="0" distR="0" wp14:anchorId="44D367C2" wp14:editId="7D406373">
                  <wp:extent cx="855023" cy="1134451"/>
                  <wp:effectExtent l="0" t="0" r="2540" b="8890"/>
                  <wp:docPr id="3" name="Grafik 3" descr="\\FILER300\USERS3002\I0323546\Desktop\result_light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FILER300\USERS3002\I0323546\Desktop\result_light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49" cy="117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88D" w:rsidRPr="00232DA8" w:rsidRDefault="0069688D" w:rsidP="00A834EB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4146" w:type="pct"/>
            <w:gridSpan w:val="2"/>
            <w:tcBorders>
              <w:left w:val="single" w:sz="4" w:space="0" w:color="FFFFFF" w:themeColor="background1"/>
            </w:tcBorders>
          </w:tcPr>
          <w:p w:rsidR="00D31687" w:rsidRPr="00D31687" w:rsidRDefault="00D31687" w:rsidP="00D31687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  <w:sz w:val="28"/>
                <w:lang w:val="de-DE"/>
              </w:rPr>
            </w:pPr>
            <w:r w:rsidRPr="00D31687">
              <w:rPr>
                <w:lang w:val="de-DE"/>
              </w:rPr>
              <w:t xml:space="preserve">Im letzten </w:t>
            </w:r>
            <w:r w:rsidR="005065EE">
              <w:rPr>
                <w:lang w:val="de-DE"/>
              </w:rPr>
              <w:t xml:space="preserve">Release wurden die bisherigen Resultate anhand eines 16-Analyten Datensatzes mit </w:t>
            </w:r>
            <w:proofErr w:type="spellStart"/>
            <w:r w:rsidR="005065EE">
              <w:rPr>
                <w:lang w:val="de-DE"/>
              </w:rPr>
              <w:t>Myokardialer</w:t>
            </w:r>
            <w:proofErr w:type="spellEnd"/>
            <w:r w:rsidR="005065EE">
              <w:rPr>
                <w:lang w:val="de-DE"/>
              </w:rPr>
              <w:t xml:space="preserve"> </w:t>
            </w:r>
            <w:proofErr w:type="spellStart"/>
            <w:r w:rsidR="005065EE">
              <w:rPr>
                <w:lang w:val="de-DE"/>
              </w:rPr>
              <w:t>Ischemie</w:t>
            </w:r>
            <w:proofErr w:type="spellEnd"/>
            <w:r w:rsidR="005065EE">
              <w:rPr>
                <w:lang w:val="de-DE"/>
              </w:rPr>
              <w:t xml:space="preserve"> Diagnose reproduziert und auf einem umfassenderen 3000-Analyten </w:t>
            </w:r>
            <w:proofErr w:type="spellStart"/>
            <w:r w:rsidR="005065EE">
              <w:rPr>
                <w:lang w:val="de-DE"/>
              </w:rPr>
              <w:t>Datenset</w:t>
            </w:r>
            <w:proofErr w:type="spellEnd"/>
            <w:r w:rsidR="005065EE">
              <w:rPr>
                <w:lang w:val="de-DE"/>
              </w:rPr>
              <w:t xml:space="preserve"> passende </w:t>
            </w:r>
            <w:proofErr w:type="spellStart"/>
            <w:r w:rsidR="005065EE">
              <w:rPr>
                <w:lang w:val="de-DE"/>
              </w:rPr>
              <w:t>Imputationsstrategien</w:t>
            </w:r>
            <w:proofErr w:type="spellEnd"/>
            <w:r w:rsidR="005065EE">
              <w:rPr>
                <w:lang w:val="de-DE"/>
              </w:rPr>
              <w:t>, alternative Analyt-Wichtigkeitsmethoden entwickelt und umfassendere Resultate gewonnen.</w:t>
            </w:r>
          </w:p>
          <w:p w:rsidR="000B2F2A" w:rsidRPr="000B2F2A" w:rsidRDefault="000B2F2A" w:rsidP="000B2F2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  <w:sz w:val="28"/>
                <w:lang w:val="de-DE"/>
              </w:rPr>
            </w:pPr>
            <w:r>
              <w:rPr>
                <w:lang w:val="de-DE"/>
              </w:rPr>
              <w:t>Ziele für Release 2:</w:t>
            </w:r>
            <w:bookmarkStart w:id="0" w:name="_GoBack"/>
            <w:bookmarkEnd w:id="0"/>
          </w:p>
          <w:p w:rsidR="000B2F2A" w:rsidRPr="000B2F2A" w:rsidRDefault="000B2F2A" w:rsidP="000B2F2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  <w:sz w:val="28"/>
                <w:lang w:val="de-DE"/>
              </w:rPr>
            </w:pPr>
            <w:r w:rsidRPr="000B2F2A">
              <w:rPr>
                <w:lang w:val="en-US"/>
              </w:rPr>
              <w:sym w:font="Wingdings" w:char="F0E0"/>
            </w:r>
            <w:r w:rsidRPr="000B2F2A">
              <w:t xml:space="preserve"> </w:t>
            </w:r>
            <w:r w:rsidR="005065EE">
              <w:t>Erweiterung der Resultate</w:t>
            </w:r>
          </w:p>
          <w:p w:rsidR="000B2F2A" w:rsidRPr="000B2F2A" w:rsidRDefault="000B2F2A" w:rsidP="000B2F2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  <w:sz w:val="28"/>
                <w:lang w:val="de-DE"/>
              </w:rPr>
            </w:pPr>
            <w:r>
              <w:sym w:font="Wingdings" w:char="F0E0"/>
            </w:r>
            <w:r>
              <w:t xml:space="preserve"> </w:t>
            </w:r>
            <w:r w:rsidR="005065EE">
              <w:t>Koordination zur Publikation eines wissenschaftlichen Artikels in einem Journal</w:t>
            </w:r>
          </w:p>
          <w:p w:rsidR="000B2F2A" w:rsidRPr="000B2F2A" w:rsidRDefault="000B2F2A" w:rsidP="005065EE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  <w:sz w:val="28"/>
                <w:lang w:val="de-DE"/>
              </w:rPr>
            </w:pPr>
            <w:r w:rsidRPr="000B2F2A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r w:rsidR="005065EE">
              <w:rPr>
                <w:lang w:val="de-DE"/>
              </w:rPr>
              <w:t>Ausweitung auf weitere Diagnosen</w:t>
            </w:r>
          </w:p>
        </w:tc>
      </w:tr>
      <w:tr w:rsidR="00396B42" w:rsidTr="00A834EB">
        <w:tc>
          <w:tcPr>
            <w:tcW w:w="2560" w:type="pct"/>
            <w:gridSpan w:val="2"/>
            <w:shd w:val="clear" w:color="auto" w:fill="6CA3D9"/>
          </w:tcPr>
          <w:p w:rsidR="00E8433F" w:rsidRPr="00232DA8" w:rsidRDefault="00E8433F" w:rsidP="00A834EB">
            <w:pPr>
              <w:rPr>
                <w:color w:val="FFFFFF" w:themeColor="background1"/>
                <w:sz w:val="28"/>
              </w:rPr>
            </w:pPr>
            <w:r w:rsidRPr="00232DA8">
              <w:rPr>
                <w:color w:val="FFFFFF" w:themeColor="background1"/>
                <w:sz w:val="28"/>
              </w:rPr>
              <w:t>Res</w:t>
            </w:r>
            <w:r w:rsidR="00505864">
              <w:rPr>
                <w:color w:val="FFFFFF" w:themeColor="background1"/>
                <w:sz w:val="28"/>
              </w:rPr>
              <w:t>s</w:t>
            </w:r>
            <w:r w:rsidRPr="00232DA8">
              <w:rPr>
                <w:color w:val="FFFFFF" w:themeColor="background1"/>
                <w:sz w:val="28"/>
              </w:rPr>
              <w:t>ourcen IDSC (VZE)</w:t>
            </w:r>
          </w:p>
        </w:tc>
        <w:tc>
          <w:tcPr>
            <w:tcW w:w="2440" w:type="pct"/>
            <w:shd w:val="clear" w:color="auto" w:fill="6CA3D9"/>
          </w:tcPr>
          <w:p w:rsidR="00E8433F" w:rsidRPr="00232DA8" w:rsidRDefault="00E8433F" w:rsidP="00A834EB">
            <w:pPr>
              <w:rPr>
                <w:color w:val="FFFFFF" w:themeColor="background1"/>
                <w:sz w:val="28"/>
              </w:rPr>
            </w:pPr>
            <w:r w:rsidRPr="00232DA8">
              <w:rPr>
                <w:color w:val="FFFFFF" w:themeColor="background1"/>
                <w:sz w:val="28"/>
              </w:rPr>
              <w:t>Kosten (CHF)</w:t>
            </w:r>
          </w:p>
        </w:tc>
      </w:tr>
      <w:tr w:rsidR="0099311E" w:rsidTr="00A834EB">
        <w:trPr>
          <w:trHeight w:val="1388"/>
        </w:trPr>
        <w:tc>
          <w:tcPr>
            <w:tcW w:w="2560" w:type="pct"/>
            <w:gridSpan w:val="2"/>
          </w:tcPr>
          <w:p w:rsidR="009035C6" w:rsidRDefault="00F20F1A" w:rsidP="00A834EB">
            <w:pPr>
              <w:pStyle w:val="ListParagraph"/>
              <w:numPr>
                <w:ilvl w:val="0"/>
                <w:numId w:val="2"/>
              </w:numPr>
            </w:pPr>
            <w:r>
              <w:t xml:space="preserve">IDSC: </w:t>
            </w:r>
            <w:r w:rsidR="005065EE">
              <w:rPr>
                <w:b/>
              </w:rPr>
              <w:t>0.1</w:t>
            </w:r>
            <w:r w:rsidRPr="00F20F1A">
              <w:rPr>
                <w:b/>
              </w:rPr>
              <w:t>x VZE</w:t>
            </w:r>
          </w:p>
          <w:p w:rsidR="00E8433F" w:rsidRDefault="009F637C" w:rsidP="00A834EB">
            <w:pPr>
              <w:pStyle w:val="ListParagraph"/>
              <w:numPr>
                <w:ilvl w:val="0"/>
                <w:numId w:val="2"/>
              </w:numPr>
            </w:pPr>
            <w:r>
              <w:t>DLF:</w:t>
            </w:r>
            <w:r w:rsidR="00AA5FF6">
              <w:t xml:space="preserve"> </w:t>
            </w:r>
          </w:p>
          <w:p w:rsidR="009F637C" w:rsidRDefault="009F637C" w:rsidP="00A834EB">
            <w:pPr>
              <w:pStyle w:val="ListParagraph"/>
              <w:numPr>
                <w:ilvl w:val="0"/>
                <w:numId w:val="2"/>
              </w:numPr>
            </w:pPr>
            <w:r>
              <w:t>DMED:</w:t>
            </w:r>
          </w:p>
          <w:p w:rsidR="009F637C" w:rsidRDefault="009F637C" w:rsidP="00A834EB">
            <w:pPr>
              <w:pStyle w:val="ListParagraph"/>
              <w:numPr>
                <w:ilvl w:val="0"/>
                <w:numId w:val="2"/>
              </w:numPr>
            </w:pPr>
            <w:r>
              <w:t>DMS:</w:t>
            </w:r>
          </w:p>
          <w:p w:rsidR="009F637C" w:rsidRDefault="009F637C" w:rsidP="00F20F1A">
            <w:pPr>
              <w:pStyle w:val="ListParagraph"/>
              <w:numPr>
                <w:ilvl w:val="0"/>
                <w:numId w:val="2"/>
              </w:numPr>
            </w:pPr>
            <w:r>
              <w:t>DTI:</w:t>
            </w:r>
            <w:r w:rsidR="00F20F1A">
              <w:t xml:space="preserve"> </w:t>
            </w:r>
          </w:p>
        </w:tc>
        <w:tc>
          <w:tcPr>
            <w:tcW w:w="2440" w:type="pct"/>
          </w:tcPr>
          <w:p w:rsidR="009F637C" w:rsidRDefault="009F637C" w:rsidP="00F20F1A">
            <w:pPr>
              <w:ind w:left="360"/>
            </w:pPr>
          </w:p>
        </w:tc>
      </w:tr>
    </w:tbl>
    <w:p w:rsidR="00BF67FA" w:rsidRDefault="00BF67FA" w:rsidP="0069688D"/>
    <w:sectPr w:rsidR="00BF67FA" w:rsidSect="0099311E">
      <w:headerReference w:type="default" r:id="rId10"/>
      <w:pgSz w:w="11906" w:h="16838"/>
      <w:pgMar w:top="1417" w:right="1417" w:bottom="284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F70" w:rsidRDefault="005F2F70" w:rsidP="00F71F12">
      <w:pPr>
        <w:spacing w:after="0" w:line="240" w:lineRule="auto"/>
      </w:pPr>
      <w:r>
        <w:separator/>
      </w:r>
    </w:p>
  </w:endnote>
  <w:endnote w:type="continuationSeparator" w:id="0">
    <w:p w:rsidR="005F2F70" w:rsidRDefault="005F2F70" w:rsidP="00F7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F70" w:rsidRDefault="005F2F70" w:rsidP="00F71F12">
      <w:pPr>
        <w:spacing w:after="0" w:line="240" w:lineRule="auto"/>
      </w:pPr>
      <w:r>
        <w:separator/>
      </w:r>
    </w:p>
  </w:footnote>
  <w:footnote w:type="continuationSeparator" w:id="0">
    <w:p w:rsidR="005F2F70" w:rsidRDefault="005F2F70" w:rsidP="00F71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4EB" w:rsidRDefault="005F2F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IDSC_Logo_def_RGB" style="position:absolute;margin-left:-61.9pt;margin-top:-31.6pt;width:120.15pt;height:50.9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IDSC_Logo_def_RG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1C1"/>
    <w:multiLevelType w:val="hybridMultilevel"/>
    <w:tmpl w:val="D8D06528"/>
    <w:lvl w:ilvl="0" w:tplc="B7CC9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A3D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0C1C"/>
    <w:multiLevelType w:val="hybridMultilevel"/>
    <w:tmpl w:val="A34AC39A"/>
    <w:lvl w:ilvl="0" w:tplc="B7CC9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A3D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1D6E"/>
    <w:multiLevelType w:val="hybridMultilevel"/>
    <w:tmpl w:val="7EDE88B4"/>
    <w:lvl w:ilvl="0" w:tplc="B7CC9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A3D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C3C"/>
    <w:multiLevelType w:val="hybridMultilevel"/>
    <w:tmpl w:val="2B3AD68E"/>
    <w:lvl w:ilvl="0" w:tplc="A3DA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CA3D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3F"/>
    <w:rsid w:val="000A5EC8"/>
    <w:rsid w:val="000B2F2A"/>
    <w:rsid w:val="00121FFE"/>
    <w:rsid w:val="00163573"/>
    <w:rsid w:val="001A5C59"/>
    <w:rsid w:val="001E5E13"/>
    <w:rsid w:val="00232DA8"/>
    <w:rsid w:val="0024352C"/>
    <w:rsid w:val="00262B3C"/>
    <w:rsid w:val="002F6965"/>
    <w:rsid w:val="003424DB"/>
    <w:rsid w:val="00376795"/>
    <w:rsid w:val="00396B42"/>
    <w:rsid w:val="003A6B98"/>
    <w:rsid w:val="003C2D30"/>
    <w:rsid w:val="003D3F65"/>
    <w:rsid w:val="003F4E22"/>
    <w:rsid w:val="004C3654"/>
    <w:rsid w:val="00505864"/>
    <w:rsid w:val="005065EE"/>
    <w:rsid w:val="00524C7C"/>
    <w:rsid w:val="00564247"/>
    <w:rsid w:val="005711D8"/>
    <w:rsid w:val="0057574D"/>
    <w:rsid w:val="005B1A78"/>
    <w:rsid w:val="005B3448"/>
    <w:rsid w:val="005F2F70"/>
    <w:rsid w:val="0064300F"/>
    <w:rsid w:val="00652AEA"/>
    <w:rsid w:val="00671D26"/>
    <w:rsid w:val="0069688D"/>
    <w:rsid w:val="006D5ED7"/>
    <w:rsid w:val="007644D0"/>
    <w:rsid w:val="007A3BF4"/>
    <w:rsid w:val="00821412"/>
    <w:rsid w:val="0085468C"/>
    <w:rsid w:val="00884546"/>
    <w:rsid w:val="00895408"/>
    <w:rsid w:val="008A08D3"/>
    <w:rsid w:val="008B245A"/>
    <w:rsid w:val="008C732F"/>
    <w:rsid w:val="008E5E99"/>
    <w:rsid w:val="009035C6"/>
    <w:rsid w:val="0099311E"/>
    <w:rsid w:val="009E28C9"/>
    <w:rsid w:val="009F637C"/>
    <w:rsid w:val="00A40F3D"/>
    <w:rsid w:val="00A52270"/>
    <w:rsid w:val="00A834EB"/>
    <w:rsid w:val="00AA5FF6"/>
    <w:rsid w:val="00AB1FEB"/>
    <w:rsid w:val="00B21AF1"/>
    <w:rsid w:val="00B2719D"/>
    <w:rsid w:val="00B756C6"/>
    <w:rsid w:val="00BF41AC"/>
    <w:rsid w:val="00BF67FA"/>
    <w:rsid w:val="00D31687"/>
    <w:rsid w:val="00E25235"/>
    <w:rsid w:val="00E57ADA"/>
    <w:rsid w:val="00E8433F"/>
    <w:rsid w:val="00F20F1A"/>
    <w:rsid w:val="00F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D7FE14"/>
  <w15:chartTrackingRefBased/>
  <w15:docId w15:val="{53962C5D-EB66-4A09-AD3E-87EAF2D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57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1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71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1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F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Insel Gruppe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Sukeinthan</dc:creator>
  <cp:keywords/>
  <dc:description/>
  <cp:lastModifiedBy>Ellenberger, Benjamin</cp:lastModifiedBy>
  <cp:revision>3</cp:revision>
  <dcterms:created xsi:type="dcterms:W3CDTF">2019-01-30T19:50:00Z</dcterms:created>
  <dcterms:modified xsi:type="dcterms:W3CDTF">2019-01-30T20:29:00Z</dcterms:modified>
</cp:coreProperties>
</file>