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互联网行业商机周报</w:t>
      </w:r>
    </w:p>
    <w:p>
      <w:r>
        <w:t>覆盖周期: 2026-06-20 至 2026-07-03</w:t>
      </w:r>
    </w:p>
    <w:p>
      <w:r>
        <w:t>资料来源: 国家发展改革委/国家信息中心关于智能经济新形态观点材料、新华网关于2026世界人工智能大会及AI发展趋势报道、人民网关于国产大模型API降价报道、浙江省科技厅新一代人工智能国家科技重大专项申报通知、浙江省数据局人工智能行业高质量数据集典型案例公开信息、浙江省经济信息中心/杭州日报关于谷歌跨境电商加速中心落地杭州报道、璞睿创智公开融资与业务资料、企业公开资料、iFinD上市公司公告语义检索、公开招股/公告资料。</w:t>
      </w:r>
    </w:p>
    <w:p>
      <w:pPr>
        <w:pStyle w:val="Heading1"/>
      </w:pPr>
      <w:r>
        <w:t>一、行业动态与发展总结</w:t>
      </w:r>
    </w:p>
    <w:p>
      <w:pPr>
        <w:pStyle w:val="Heading2"/>
      </w:pPr>
      <w:r>
        <w:t>1. 近期政策变动</w:t>
      </w:r>
    </w:p>
    <w:p>
      <w:r>
        <w:t>国家层面继续把人工智能从单点技术创新推向“智能经济”底座。2026年政府工作报告提出打造智能经济新形态，发改、工信、教育、网信等条线近期围绕人工智能+产业、人工智能+教育、数据治理、平台经济规范和数字贸易能力建设持续释放政策信号。政策重点不再只是鼓励模型研发，而是推动AI进入制造、教育、医疗、跨境贸易、企业服务等可计费、可采购、可形成数据闭环的场景。</w:t>
      </w:r>
    </w:p>
    <w:p>
      <w:r>
        <w:t>7月将在上海举办的2026世界人工智能大会暨人工智能全球治理高级别会议，强化了中国在AI国际合作、治理规则和产业应用中的平台角色。对互联网企业而言，这意味着模型平台、AI Agent、AI SaaS、数据治理、安全合规和跨境应用会同时受到产业扶持与合规约束。</w:t>
      </w:r>
    </w:p>
    <w:p>
      <w:r>
        <w:t>近期国产大模型API价格继续下探，DeepSeek、小米、腾讯云等主体下调调用费用，部分主流模型降价幅度较大。价格下降会降低应用企业试错门槛，但不会消除资金需求：企业会把单次调用成本下降转化为更高调用量、更多Agent工作流、更重的企业私有化与数据治理项目。</w:t>
      </w:r>
    </w:p>
    <w:p>
      <w:r>
        <w:t>综合影响闭环：政策支持和模型降价共同推动AI从“能展示”进入“能采购、能续费、能结算”的阶段。企业经营侧会出现研发投入、云资源预付、模型API消耗、数据合规改造和应收账款增长；银行可围绕科创融资、短贷、资产池、数字财资、票据/保理、供应链金融、跨境结算与代发切入。</w:t>
      </w:r>
    </w:p>
    <w:p>
      <w:pPr>
        <w:pStyle w:val="Heading2"/>
      </w:pPr>
      <w:r>
        <w:t>2. 政府规划与产业方向</w:t>
      </w:r>
    </w:p>
    <w:p>
      <w:r>
        <w:t>国家产业方向正在从“数字经济基础设施”升级到“智能经济应用生态”。算力基础设施、数据基础设施、人工智能+行业应用、数字贸易、工业互联网平台、SaaS+AI和中小企业数智化改造是近期政策和市场共同聚焦的方向。</w:t>
      </w:r>
    </w:p>
    <w:p>
      <w:r>
        <w:t>从银行视角看，值得关注三类企业：一是能沉淀行业数据和客户工作流的AI SaaS企业；二是具备开发者、ISV、商户或服务商生态的平台型企业；三是能把AI落进医疗、制造、跨境电商、能源、机器人等垂直场景的应用公司。这些企业常见特征是收入增长快但现金流波动大，研发和云资源支出前置，项目回款滞后，适合用“授信+结算+供应链+财资”组合服务。</w:t>
      </w:r>
    </w:p>
    <w:p>
      <w:pPr>
        <w:pStyle w:val="Heading2"/>
      </w:pPr>
      <w:r>
        <w:t>3. AI时代互联网行业发展趋势</w:t>
      </w:r>
    </w:p>
    <w:p>
      <w:r>
        <w:t>互联网行业进入分化上行期。流量平台和传统广告业务增长趋缓，但AI搜索、AI营销、AI客服、AI办公、AI电商、AI视频、AI临床、具身智能数据和跨境电商SaaS正在形成新预算池。企业不再只采购通用软件，而是购买能够嵌入业务流程、直接提升转化率、降低人工成本或缩短交付周期的AI工具。</w:t>
      </w:r>
    </w:p>
    <w:p>
      <w:r>
        <w:t>本期最明显的变化是“AI应用商业化”和“数据资产化”同步加速。模型API降价使应用厂商更容易做出可收费产品；高质量数据集、行业知识库和Agent平台则成为新壁垒。风险在于模型同质化、客户续费不确定、数据合规压力、推理成本失控和项目型收入回款周期拉长。</w:t>
      </w:r>
    </w:p>
    <w:p>
      <w:pPr>
        <w:pStyle w:val="Heading2"/>
      </w:pPr>
      <w:r>
        <w:t>4. AI Token消费生态链与上下游动态</w:t>
      </w:r>
    </w:p>
    <w:p>
      <w:r>
        <w:t>上游算力和云服务仍是AI Token消费的资金入口。模型调用价格下降后，Token消费更像“流量费”：单价下降、用量上升、峰值波动加大。中游MaaS平台、知识库、向量检索、模型安全、数据治理和Agent编排平台开始承担企业级AI落地的关键支出。下游AI营销、AI电商、AI临床、具身智能、AI气象、AI教育和跨境工具，是本期最容易转化为银行商机的场景。</w:t>
      </w:r>
    </w:p>
    <w:p>
      <w:r>
        <w:t>资金需求主要出现在四个环节：云资源与模型API预付、数据采集和标注投入、项目交付期应收账款、跨境广告和收款资金周转。对应产品可用数字财资、资产池、短贷、普惠金融科创贷、订单融资、付融通、保理、平安结算通、跨境支付结算和平安避险。</w:t>
      </w:r>
    </w:p>
    <w:p>
      <w:pPr>
        <w:pStyle w:val="Heading1"/>
      </w:pPr>
      <w:r>
        <w:t>二、浙江地区动态与区域机会</w:t>
      </w:r>
    </w:p>
    <w:p>
      <w:pPr>
        <w:pStyle w:val="Heading2"/>
      </w:pPr>
      <w:r>
        <w:t>1. 浙江政策与政府规划</w:t>
      </w:r>
    </w:p>
    <w:p>
      <w:r>
        <w:t>浙江省科技厅已组织申报新一代人工智能国家科技重大专项2026年度第一批公开项目，要求各地科技部门发动高校、科研院所和企业整合创新资源，并在7月中旬前完成推荐申报。这会带动浙江AI企业围绕算法、数据、智能终端、行业应用和安全治理争取项目资金，也会提高企业对银行科创融资、项目配套资金和研发周转资金的需求。</w:t>
      </w:r>
    </w:p>
    <w:p>
      <w:r>
        <w:t>浙江省数据局近期发布2026年第一批人工智能行业高质量数据集典型案例，覆盖制造、机器人、医学、气象、文旅、物流等场景。典型案例说明浙江的AI竞争力正在从“模型公司”扩展到“行业数据+场景应用+服务交付”。数据集建设需要持续采集、清洗、标注、存储和算力，适合银行从研发贷、短贷、数据资产相关财资管理和项目回款管理切入。</w:t>
      </w:r>
    </w:p>
    <w:p>
      <w:r>
        <w:t>杭州跨境电商继续强化服务生态。谷歌跨境电商加速中心宣布落地杭州上城，预计三季度投运，定位是帮助本地企业从平台卖货转向独立站和品牌出海。杭州作为全国首个跨境电商综试区，叠加直播电商、MCN、数字营销和SaaS服务商生态，会带动跨境广告投放、独立站建站、海外收款、结汇避险、供应链备货和商户融资需求。</w:t>
      </w:r>
    </w:p>
    <w:p>
      <w:pPr>
        <w:pStyle w:val="Heading2"/>
      </w:pPr>
      <w:r>
        <w:t>2. 浙江重点产业与区域机会</w:t>
      </w:r>
    </w:p>
    <w:p>
      <w:r>
        <w:t>杭州仍是本期重点扫客城市，方向包括AI临床、AI SaaS、跨境电商服务、具身智能、云与数据服务。宁波、温州、台州和金华更适合围绕制造业AI数据集、跨境产业带、文旅/医疗/工业场景做批量名单筛选。</w:t>
      </w:r>
    </w:p>
    <w:p>
      <w:r>
        <w:t>值得客户经理关注的区域线索有三类：第一，杭州AI应用企业融资和商业化进入窗口期，例如AI临床研发、气象预测、数据治理和跨境服务工具；第二，浙江数据集典型案例带来行业数据服务商和场景方融资需求；第三，谷歌加速中心和杭州全球服务商生态将增强独立站、品牌出海和跨境数字营销企业的资金周转需求。</w:t>
      </w:r>
    </w:p>
    <w:p>
      <w:pPr>
        <w:pStyle w:val="Heading2"/>
      </w:pPr>
      <w:r>
        <w:t>3. 浙江AI Token消费生态链与上下游动态</w:t>
      </w:r>
    </w:p>
    <w:p>
      <w:r>
        <w:t>浙江本地AI Token消费链条呈现“平台大厂提供底座、垂直企业消耗Token、场景企业贡献数据”的结构。阿里云、DeepSeek等企业构成底层模型和云资源供给；AI临床、AI气象、具身智能、跨境电商SaaS和医学知识库企业把Token消耗转化为行业产品；医院、制造企业、跨境卖家和能源企业提供高价值场景和数据。</w:t>
      </w:r>
    </w:p>
    <w:p>
      <w:r>
        <w:t>本期更适合从垂直应用企业切入，而不是重复追头部模型公司。原因是垂直应用企业新增融资、项目申报、数据集建设和客户交付信号更明确，且资金需求更容易落到云资源预付、研发周转、项目回款、跨境收付和代发薪。</w:t>
      </w:r>
    </w:p>
    <w:p>
      <w:pPr>
        <w:pStyle w:val="Heading2"/>
      </w:pPr>
      <w:r>
        <w:t>4. 银行展业机会</w:t>
      </w:r>
    </w:p>
    <w:p>
      <w:r>
        <w:t>1. AI临床与医学知识库企业：围绕医院合作、药企项目、数据治理和AI Agent交付，提供普惠金融科创贷、短贷、付融通、数字财资和平安薪。</w:t>
      </w:r>
    </w:p>
    <w:p>
      <w:r>
        <w:t>2. 高质量数据集企业：围绕数据采集、标注、存储、算力和项目验收回款，提供科创贷、短贷、资产池、订单融资和保理。</w:t>
      </w:r>
    </w:p>
    <w:p>
      <w:r>
        <w:t>3. 跨境电商服务商与品牌出海企业：围绕独立站建设、海外广告投放、收款结汇、备货和物流账期，提供跨境支付结算、平安避险、跨境资金管理、订单融资和平台数字贷。</w:t>
      </w:r>
    </w:p>
    <w:p>
      <w:r>
        <w:t>4. 具身智能与机器人数据企业：围绕硬件采购、中试验证、设备租赁、供应商账期和研发团队扩张，提供科技创新和技术更新改造再贷款、平安租赁、付融通、普惠金融科创贷和平安薪。</w:t>
      </w:r>
    </w:p>
    <w:p>
      <w:pPr>
        <w:pStyle w:val="Heading1"/>
      </w:pPr>
      <w:r>
        <w:t>三、重点企业推荐</w:t>
      </w:r>
    </w:p>
    <w:p>
      <w:pPr>
        <w:pStyle w:val="Heading2"/>
      </w:pPr>
      <w:r>
        <w:t>企业名称:杭州璞睿生命科技有限公司（璞睿创智/PRIMEAI）</w:t>
      </w:r>
    </w:p>
    <w:p>
      <w:r>
        <w:t>推荐等级: 高</w:t>
      </w:r>
    </w:p>
    <w:p>
      <w:r>
        <w:t>所属赛道: AI应用 / AI医疗 / 企业服务</w:t>
      </w:r>
    </w:p>
    <w:p>
      <w:r>
        <w:t>所在地区: 杭州</w:t>
      </w:r>
    </w:p>
    <w:p>
      <w:r>
        <w:t>产业链位置: 下游应用与场景</w:t>
      </w:r>
    </w:p>
    <w:p>
      <w:r>
        <w:t>推荐方向: 科创融资 / 流动资金 / 项目回款 / 现金管理 / 代发</w:t>
      </w:r>
    </w:p>
    <w:p>
      <w:r>
        <w:t>企业关键信息:</w:t>
      </w:r>
    </w:p>
    <w:p>
      <w:r>
        <w:t>基本情况: 公司成立于2021年，定位为AI临床试验与临床研发智能化服务商，核心产品包括TrialChain数据流转平台和MetaPivot AI智能体调度集群，服务医院、药企和临床试验机构。</w:t>
      </w:r>
    </w:p>
    <w:p>
      <w:r>
        <w:t>高层与团队背景: 公开资料显示创始人王铮为上海交通大学医学院心脏外科学博士，具备医学、临床研发和产业转化复合背景；更多核心团队履历待核实。</w:t>
      </w:r>
    </w:p>
    <w:p>
      <w:r>
        <w:t>银行关注点: 创始团队具备医疗场景理解和临床资源连接能力，公司近期融资后可能进入规模化交付阶段，研发、人力、云资源和项目交付资金占用会同步上升。</w:t>
      </w:r>
    </w:p>
    <w:p>
      <w:r>
        <w:t>推荐理由:</w:t>
      </w:r>
    </w:p>
    <w:p>
      <w:r>
        <w:t>6月30日完成近亿元A1轮融资首关，由中金资本等机构参与，融资信号明确。</w:t>
      </w:r>
    </w:p>
    <w:p>
      <w:r>
        <w:t>其AI临床平台覆盖患者筛选、源数据采集、AI录入、药物警戒、统计申报等流程，符合AI从通用工具进入垂直交付的方向。</w:t>
      </w:r>
    </w:p>
    <w:p>
      <w:r>
        <w:t>医院和药企客户项目通常账期较长，商业化扩张会带来流动资金和应收账款管理需求。</w:t>
      </w:r>
    </w:p>
    <w:p>
      <w:r>
        <w:t>银行展业机会: 企业融资后进入交付扩张期，可能产生研发人员扩张、云资源消耗、医院/药企项目垫资和回款周期管理需求。建议以普惠金融科创贷或短贷切入，配套数字财资、付融通、平安薪，后续视合同和应收账款情况配置保理或订单融资。</w:t>
      </w:r>
    </w:p>
    <w:p>
      <w:r>
        <w:t>推荐产品组合: 建议以普惠金融科创贷作为主推产品，解决企业研发和交付扩张中的流动资金需求；配套数字财资、付融通和平安薪，用于项目回款管理、供应商付款和技术团队代发。额度、期限、费率待沟通。</w:t>
      </w:r>
    </w:p>
    <w:p>
      <w:r>
        <w:t>客户经理切入话术: “我们关注到贵司近期融资和AI临床交付进展，临床项目扩张后通常会遇到研发投入、医院项目回款和云资源成本前置的问题。我们可以先帮您梳理一套科创授信加财资管理方案，尽量不打扰业务扩张节奏。”</w:t>
      </w:r>
    </w:p>
    <w:p>
      <w:r>
        <w:t>风险提示: 医疗数据合规、医院合作稳定性、药企客户集中度、临床项目验收周期、AI医疗监管要求和融资后现金消耗需重点核实。</w:t>
      </w:r>
    </w:p>
    <w:p>
      <w:pPr>
        <w:pStyle w:val="Heading2"/>
      </w:pPr>
      <w:r>
        <w:t>企业名称:浙江灵巧智能科技有限公司</w:t>
      </w:r>
    </w:p>
    <w:p>
      <w:r>
        <w:t>推荐等级: 高</w:t>
      </w:r>
    </w:p>
    <w:p>
      <w:r>
        <w:t>所属赛道: 具身智能 / 机器人 / 数据服务</w:t>
      </w:r>
    </w:p>
    <w:p>
      <w:r>
        <w:t>所在地区: 浙江</w:t>
      </w:r>
    </w:p>
    <w:p>
      <w:r>
        <w:t>产业链位置: 上游硬件与数据 / 中游平台</w:t>
      </w:r>
    </w:p>
    <w:p>
      <w:r>
        <w:t>推荐方向: 科创融资 / 设备投入 / 供应链金融 / 代发</w:t>
      </w:r>
    </w:p>
    <w:p>
      <w:r>
        <w:t>企业关键信息:</w:t>
      </w:r>
    </w:p>
    <w:p>
      <w:r>
        <w:t>基本情况: 公司专注灵巧操作机器人、灵巧手、遥操作和数据采集系统，是具身智能中试基地早期联合发起单位和核心共建方之一，产品进入量产和场景验证阶段。</w:t>
      </w:r>
    </w:p>
    <w:p>
      <w:r>
        <w:t>高层与团队背景: 公开资料显示总经理周晨对外阐述公司“硬件、数据与模型深度融合”的路线；其教育背景和更多核心团队履历待核实。</w:t>
      </w:r>
    </w:p>
    <w:p>
      <w:r>
        <w:t>银行关注点: 具身智能从实验室走向中试和量产，企业会同时面临研发投入、样机/设备采购、供应商账期和销售回款不确定性，适合综合金融跟进。</w:t>
      </w:r>
    </w:p>
    <w:p>
      <w:r>
        <w:t>推荐理由:</w:t>
      </w:r>
    </w:p>
    <w:p>
      <w:r>
        <w:t>新华网近期报道具身智能中试基地已形成多场景验证平台，灵巧智能深度参与，说明公司处在浙江具身智能基础设施链条中。</w:t>
      </w:r>
    </w:p>
    <w:p>
      <w:r>
        <w:t>浙江省高质量数据集典型案例中出现具身智能多模态灵巧操作方向，利于公司沉淀数据资产和标准化服务能力。</w:t>
      </w:r>
    </w:p>
    <w:p>
      <w:r>
        <w:t>具身智能当前最缺真实场景数据和中试能力，公司位置靠近产业瓶颈，值得客户经理提前建立关系。</w:t>
      </w:r>
    </w:p>
    <w:p>
      <w:r>
        <w:t>银行展业机会: 企业中试与量产阶段会产生硬件采购、传感器和零部件供应商付款、设备投入、研发人员代发和项目交付回款需求。建议用科技创新和技术更新改造再贷款、平安租赁、付融通、普惠金融科创贷组合切入。</w:t>
      </w:r>
    </w:p>
    <w:p>
      <w:r>
        <w:t>推荐产品组合: 建议以科技创新和技术更新改造再贷款或普惠金融科创贷作为主推产品，解决中试设备和研发周转需求；配套平安租赁、付融通和平安薪，用于设备投入、供应商付款和团队稳定。额度、期限、费率待沟通。</w:t>
      </w:r>
    </w:p>
    <w:p>
      <w:r>
        <w:t>客户经理切入话术: “具身智能从展示走向中试，资金压力往往集中在设备、零部件和研发团队上。我们可以先围绕贵司中试基地和量产计划，设计一套设备投入加供应商付款的组合方案。”</w:t>
      </w:r>
    </w:p>
    <w:p>
      <w:r>
        <w:t>风险提示: 具身智能商业化节奏、量产良率、核心零部件供应、客户订单稳定性和研发投入强度仍需结合合同、流水和现场尽调确认。</w:t>
      </w:r>
    </w:p>
    <w:p>
      <w:pPr>
        <w:pStyle w:val="Heading2"/>
      </w:pPr>
      <w:r>
        <w:t>企业名称:浙江网新健康科技有限公司</w:t>
      </w:r>
    </w:p>
    <w:p>
      <w:r>
        <w:t>推荐等级: 中高</w:t>
      </w:r>
    </w:p>
    <w:p>
      <w:r>
        <w:t>所属赛道: AI医疗 / 数据服务 / 医学知识库</w:t>
      </w:r>
    </w:p>
    <w:p>
      <w:r>
        <w:t>所在地区: 浙江</w:t>
      </w:r>
    </w:p>
    <w:p>
      <w:r>
        <w:t>产业链位置: 中游数据与平台 / 下游医疗场景</w:t>
      </w:r>
    </w:p>
    <w:p>
      <w:r>
        <w:t>推荐方向: 科创融资 / 项目回款 / 现金管理</w:t>
      </w:r>
    </w:p>
    <w:p>
      <w:r>
        <w:t>企业关键信息:</w:t>
      </w:r>
    </w:p>
    <w:p>
      <w:r>
        <w:t>基本情况: 公司相关“启真”医学知识高质量数据集入选浙江省2026年第一批人工智能行业高质量数据集典型案例，业务围绕医学知识库、医疗AI和数字健康服务。</w:t>
      </w:r>
    </w:p>
    <w:p>
      <w:r>
        <w:t>高层与团队背景: 公开信息显示项目与浙江大学相关医学知识资源和专家体系有关，具体公司核心管理层教育与职业履历待核实。</w:t>
      </w:r>
    </w:p>
    <w:p>
      <w:r>
        <w:t>银行关注点: 医学知识库和医疗AI项目依赖高质量数据、专家标注、医院合作和合规治理，资金占用集中在研发、数据工程和项目验收周期。</w:t>
      </w:r>
    </w:p>
    <w:p>
      <w:r>
        <w:t>推荐理由:</w:t>
      </w:r>
    </w:p>
    <w:p>
      <w:r>
        <w:t>入选省级AI行业高质量数据集典型案例，说明项目具备政策认可和场景示范价值。</w:t>
      </w:r>
    </w:p>
    <w:p>
      <w:r>
        <w:t>医学知识库是医疗AI和AI Agent落地的重要基础设施，后续可延伸到医院、药企、教育和科研场景。</w:t>
      </w:r>
    </w:p>
    <w:p>
      <w:r>
        <w:t>浙江医疗AI生态正在从模型展示转向数据治理和合规交付，银行可提前布局项目型客户。</w:t>
      </w:r>
    </w:p>
    <w:p>
      <w:r>
        <w:t>银行展业机会: 企业可能存在数据治理投入、专家标注和知识库建设成本、医院项目回款周期以及研发人员代发需求。可从普惠金融科创贷、短贷、数字财资、付融通和保理切入。</w:t>
      </w:r>
    </w:p>
    <w:p>
      <w:r>
        <w:t>推荐产品组合: 建议以普惠金融科创贷作为主推产品，支持医学知识库和医疗AI研发；配套数字财资、付融通和保理，用于项目回款、供应商付款和现金流管理。额度、期限、费率待沟通。</w:t>
      </w:r>
    </w:p>
    <w:p>
      <w:r>
        <w:t>客户经理切入话术: “医学知识库和医疗AI项目通常前期数据工程投入比较重，回款又跟项目验收挂钩。我们可以先从科创授信和项目回款管理两个角度，帮贵司评估一套轻量方案。”</w:t>
      </w:r>
    </w:p>
    <w:p>
      <w:r>
        <w:t>风险提示: 医疗数据合规、知识产权、医院客户验收周期、项目收入确认和核心专家资源稳定性需重点核实。</w:t>
      </w:r>
    </w:p>
    <w:p>
      <w:pPr>
        <w:pStyle w:val="Heading2"/>
      </w:pPr>
      <w:r>
        <w:t>企业名称:米塔碳（杭州）智能科技有限公司</w:t>
      </w:r>
    </w:p>
    <w:p>
      <w:r>
        <w:t>推荐等级: 中高</w:t>
      </w:r>
    </w:p>
    <w:p>
      <w:r>
        <w:t>所属赛道: AI气象 / 能源数字化 / 数据服务</w:t>
      </w:r>
    </w:p>
    <w:p>
      <w:r>
        <w:t>所在地区: 杭州</w:t>
      </w:r>
    </w:p>
    <w:p>
      <w:r>
        <w:t>产业链位置: 中游数据与模型 / 下游能源场景</w:t>
      </w:r>
    </w:p>
    <w:p>
      <w:r>
        <w:t>推荐方向: 科创融资 / 算力与数据投入 / 项目回款</w:t>
      </w:r>
    </w:p>
    <w:p>
      <w:r>
        <w:t>企业关键信息:</w:t>
      </w:r>
    </w:p>
    <w:p>
      <w:r>
        <w:t>基本情况: 公司专注AI气象预测、新能源功率预测和能源大数据服务，公开资料显示其AE增强全球气象重建数据集入选浙江人工智能行业高质量数据集项目。</w:t>
      </w:r>
    </w:p>
    <w:p>
      <w:r>
        <w:t>高层与团队背景: 核心管理层和技术负责人教育背景公开披露有限，待核实。</w:t>
      </w:r>
    </w:p>
    <w:p>
      <w:r>
        <w:t>银行关注点: AI气象和新能源预测服务具有模型训练、数据存储、算力消耗和能源客户项目交付属性，可能形成稳定B端合同和项目回款需求。</w:t>
      </w:r>
    </w:p>
    <w:p>
      <w:r>
        <w:t>推荐理由:</w:t>
      </w:r>
    </w:p>
    <w:p>
      <w:r>
        <w:t>高质量气象数据集可降低AI训练存储和算力成本，符合AI Token消费生态中“数据压缩+高精度重建”的降本方向。</w:t>
      </w:r>
    </w:p>
    <w:p>
      <w:r>
        <w:t>新能源功率预测和电力交易辅助服务具备明确企业付费场景，商业化路径比泛AI工具更清晰。</w:t>
      </w:r>
    </w:p>
    <w:p>
      <w:r>
        <w:t>杭州AI数据服务企业可与能源、电力、园区和制造客户形成项目型合作，适合银行从合同和流水切入。</w:t>
      </w:r>
    </w:p>
    <w:p>
      <w:r>
        <w:t>银行展业机会: 企业在数据集建设、模型迭代、算力资源、项目交付和能源客户回款方面可能有资金占用。可用普惠金融科创贷、短贷、数字财资、订单融资和付融通切入。</w:t>
      </w:r>
    </w:p>
    <w:p>
      <w:r>
        <w:t>推荐产品组合: 建议以普惠金融科创贷或短贷作为主推产品，解决模型和数据集建设中的研发周转；配套数字财资、订单融资和付融通，用于能源客户项目回款与供应商付款。额度、期限、费率待沟通。</w:t>
      </w:r>
    </w:p>
    <w:p>
      <w:r>
        <w:t>客户经理切入话术: “AI气象和新能源预测项目通常会有数据、算力和项目回款三类资金占用。我们可以先围绕贵司已有能源客户合同，评估是否适合科创授信和订单融资。”</w:t>
      </w:r>
    </w:p>
    <w:p>
      <w:r>
        <w:t>风险提示: 能源客户集中度、模型预测效果、项目验收周期、算力成本和数据授权合规需结合合同与技术材料核实。</w:t>
      </w:r>
    </w:p>
    <w:p>
      <w:pPr>
        <w:pStyle w:val="Heading1"/>
      </w:pPr>
      <w:r>
        <w:t>四、客户经理行动建议</w:t>
      </w:r>
    </w:p>
    <w:p>
      <w:r>
        <w:t>1. 优先拜访杭州璞睿生命科技有限公司，围绕融资后研发扩张、医院/药企项目回款、云资源和人员代发展开，准备普惠金融科创贷、短贷、数字财资和付融通方案。</w:t>
      </w:r>
    </w:p>
    <w:p>
      <w:r>
        <w:t>2. 跟进浙江灵巧智能科技有限公司，围绕具身智能中试、设备采购、供应商账期和研发团队扩张切入，准备科技创新和技术更新改造再贷款、平安租赁、付融通和平安薪方案。</w:t>
      </w:r>
    </w:p>
    <w:p>
      <w:r>
        <w:t>3. 扫描浙江省AI高质量数据集典型案例企业，优先联系浙江网新健康科技有限公司、米塔碳（杭州）智能科技有限公司等有明确数据集和行业场景的公司，重点询问数据采集、标注、算力、项目验收和回款周期。</w:t>
      </w:r>
    </w:p>
    <w:p>
      <w:r>
        <w:t>4. 围绕谷歌跨境电商加速中心落地杭州，建立上城跨境独立站、数字营销、MCN和SaaS服务商名单，优先推跨境支付结算、平安避险、跨境资金管理、订单融资和平台数字贷。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