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华文楷体" w:hAnsi="华文楷体" w:eastAsia="华文楷体"/>
        </w:rPr>
        <w:t>半导体行业商机周报</w:t>
      </w:r>
    </w:p>
    <w:p>
      <w:r>
        <w:rPr>
          <w:rFonts w:ascii="华文楷体" w:hAnsi="华文楷体" w:eastAsia="华文楷体"/>
          <w:sz w:val="22"/>
        </w:rPr>
        <w:t>覆盖周期：2026.06.20-07.03</w:t>
      </w:r>
    </w:p>
    <w:p>
      <w:r>
        <w:rPr>
          <w:rFonts w:ascii="华文楷体" w:hAnsi="华文楷体" w:eastAsia="华文楷体"/>
          <w:sz w:val="22"/>
        </w:rPr>
        <w:t>资料来源：同花顺、财联社、新华网科技、经济观察网、爱集微、电子发烧友、电子工程专辑、SearXNG 聚合搜索、iFinD 新闻/公告/股票数据、上市公司公告、浙江在线、证券时报、东方财富、企查查/天眼查公开信息、公司官网等公开资料。</w:t>
      </w:r>
    </w:p>
    <w:p>
      <w:pPr>
        <w:pStyle w:val="Heading1"/>
      </w:pPr>
      <w:r>
        <w:rPr>
          <w:rFonts w:ascii="华文楷体" w:hAnsi="华文楷体" w:eastAsia="华文楷体"/>
        </w:rPr>
        <w:t>一、行业动态与发展总结</w:t>
      </w:r>
    </w:p>
    <w:p>
      <w:pPr>
        <w:pStyle w:val="Heading2"/>
      </w:pPr>
      <w:r>
        <w:rPr>
          <w:rFonts w:ascii="华文楷体" w:hAnsi="华文楷体" w:eastAsia="华文楷体"/>
        </w:rPr>
        <w:t>1. 近期政策变动</w:t>
      </w:r>
    </w:p>
    <w:p>
      <w:r>
        <w:rPr>
          <w:rFonts w:ascii="华文楷体" w:hAnsi="华文楷体" w:eastAsia="华文楷体"/>
          <w:sz w:val="22"/>
        </w:rPr>
        <w:t>本期全国层面的政策主线仍围绕“新质生产力、科技创新、设备更新、专精特新、人工智能+制造”展开。证监会与交易所持续完善服务新质生产力的资本市场制度，创业板新增更适配高研发、高成长企业的上市标准，对尚未形成传统利润规模但具备研发强度和商业化验证的硬科技企业更友好。工信系统继续推进专精特新梯度培育，地方推荐名单陆续公示，半导体设备、材料、光通信、功率器件、传感器企业仍是重点方向。</w:t>
      </w:r>
    </w:p>
    <w:p>
      <w:r>
        <w:rPr>
          <w:rFonts w:ascii="华文楷体" w:hAnsi="华文楷体" w:eastAsia="华文楷体"/>
          <w:sz w:val="22"/>
        </w:rPr>
        <w:t>设备更新和科技创新再贷款政策继续对制造业技改形成支撑。对半导体企业而言，政策的核心不是单纯补贴，而是把企业扩产、设备国产替代、工艺平台升级和银行中长期资金连接起来。尤其是先进封装、电子材料、功率半导体、硅光模块等环节，项目建设往往同时带来土地厂房、进口设备、国产设备、流片验证、原材料备货、客户账期等多类资金需求。</w:t>
      </w:r>
    </w:p>
    <w:p>
      <w:r>
        <w:rPr>
          <w:rFonts w:ascii="华文楷体" w:hAnsi="华文楷体" w:eastAsia="华文楷体"/>
          <w:sz w:val="22"/>
        </w:rPr>
        <w:t>综合影响闭环：政策信号指向“硬科技融资渠道拓宽 + 设备更新资金支持 + 专精特新名单扩容”。经营含义是半导体企业更敢上产线、更重视国产设备材料导入，也更需要稳定银行授信。对平安银行杭州分行，机会集中在科技创新和技术更新改造再贷款、平安租赁、普惠金融科创贷、银票贴现、商票e贴、付融通、数字财资和资本市场联动服务。</w:t>
      </w:r>
    </w:p>
    <w:p>
      <w:pPr>
        <w:pStyle w:val="Heading2"/>
      </w:pPr>
      <w:r>
        <w:rPr>
          <w:rFonts w:ascii="华文楷体" w:hAnsi="华文楷体" w:eastAsia="华文楷体"/>
        </w:rPr>
        <w:t>2. 政府规划与产业方向</w:t>
      </w:r>
    </w:p>
    <w:p>
      <w:r>
        <w:rPr>
          <w:rFonts w:ascii="华文楷体" w:hAnsi="华文楷体" w:eastAsia="华文楷体"/>
          <w:sz w:val="22"/>
        </w:rPr>
        <w:t>国家产业方向继续聚焦人工智能算力、先进制造、集成电路自主可控和产业链供应链安全。AI 算力的拉动已经从 GPU/ASIC 本身传导到存储、先进封装、硅光互联、服务器电源管理、测试设备和高纯材料。公开研究和市场信息显示，先进封装、HBM、Chiplet、CPO/NPO 光互联、半导体设备、电子特气和湿电子化学品，仍是行业投资和订单最密集的方向。</w:t>
      </w:r>
    </w:p>
    <w:p>
      <w:r>
        <w:rPr>
          <w:rFonts w:ascii="华文楷体" w:hAnsi="华文楷体" w:eastAsia="华文楷体"/>
          <w:sz w:val="22"/>
        </w:rPr>
        <w:t>资本市场层面，半导体设备、材料、封测和算力芯片公司仍是机构关注主线。iFinD 公告检索显示，近期多家设备和模拟芯片企业披露再融资、募投项目或产业化项目，资金用途集中在高端设备产业化、车规级驱动及电源管理芯片、先进制造产能建设等方向。这说明行业扩产并非只停留在主题投资，已经落到订单交付、产线建设和研发流片支出。</w:t>
      </w:r>
    </w:p>
    <w:p>
      <w:pPr>
        <w:pStyle w:val="Heading2"/>
      </w:pPr>
      <w:r>
        <w:rPr>
          <w:rFonts w:ascii="华文楷体" w:hAnsi="华文楷体" w:eastAsia="华文楷体"/>
        </w:rPr>
        <w:t>3. 行业发展趋势</w:t>
      </w:r>
    </w:p>
    <w:p>
      <w:r>
        <w:rPr>
          <w:rFonts w:ascii="华文楷体" w:hAnsi="华文楷体" w:eastAsia="华文楷体"/>
          <w:sz w:val="22"/>
        </w:rPr>
        <w:t>半导体行业处于“总量回升、结构分化、先进环节高景气”的阶段。AI 算力带来的需求确定性最强，直接拉动先进封装、存储、高速互联、服务器电源、测试设备和材料。传统消费电子链条复苏相对温和，企业间订单能见度分化明显。功率半导体在新能源车、储能、工业控制和 AI 服务器电源需求带动下，SiC、GaN 和高可靠车规器件仍值得持续跟踪。</w:t>
      </w:r>
    </w:p>
    <w:p>
      <w:r>
        <w:rPr>
          <w:rFonts w:ascii="华文楷体" w:hAnsi="华文楷体" w:eastAsia="华文楷体"/>
          <w:sz w:val="22"/>
        </w:rPr>
        <w:t>银行关注重点应从“泛半导体概念”转向“有订单、有产线、有客户导入、有明确资金用途”的企业。对大项目，重点看资本开支节奏、股东投入、政府补贴到账、银行贷款占比和设备采购合同。对中小硬科技企业，重点看核心团队、专利与客户验证、订单回款周期和股权融资节奏。</w:t>
      </w:r>
    </w:p>
    <w:p>
      <w:pPr>
        <w:pStyle w:val="Heading2"/>
      </w:pPr>
      <w:r>
        <w:rPr>
          <w:rFonts w:ascii="华文楷体" w:hAnsi="华文楷体" w:eastAsia="华文楷体"/>
        </w:rPr>
        <w:t>4. 上下游产业链动态</w:t>
      </w:r>
    </w:p>
    <w:p>
      <w:r>
        <w:rPr>
          <w:rFonts w:ascii="华文楷体" w:hAnsi="华文楷体" w:eastAsia="华文楷体"/>
          <w:sz w:val="22"/>
        </w:rPr>
        <w:t>上游设备和材料的议价能力继续增强。AI 算力扩产对前道设备、后道先进封装设备、测试设备、电子特气、靶材、光刻胶、封装基板和硅光芯片工艺提出更高要求。中游制造与封测环节进入资本开支密集期，尤其是 2.5D、BUMP、FC、SiP、晶圆级封装和高速硅光模块。下游需求主要来自 AI 数据中心、汽车电子、工业控制、通信网络和国产服务器生态。</w:t>
      </w:r>
    </w:p>
    <w:p>
      <w:r>
        <w:rPr>
          <w:rFonts w:ascii="华文楷体" w:hAnsi="华文楷体" w:eastAsia="华文楷体"/>
          <w:sz w:val="22"/>
        </w:rPr>
        <w:t>资金占用最大的环节在“建线期”和“放量初期”。建线期需要项目贷款、设备融资租赁、国内信用证、跨境支付结算；放量初期需要短贷、票据贴现、付融通、商票e贴和订单融资。若核心企业能确认上下游交易关系，可围绕设备供应商、材料供应商和封测客户设计供应链金融方案。</w:t>
      </w:r>
    </w:p>
    <w:p>
      <w:pPr>
        <w:pStyle w:val="Heading1"/>
      </w:pPr>
      <w:r>
        <w:rPr>
          <w:rFonts w:ascii="华文楷体" w:hAnsi="华文楷体" w:eastAsia="华文楷体"/>
        </w:rPr>
        <w:t>二、浙江地区动态与区域机会</w:t>
      </w:r>
    </w:p>
    <w:p>
      <w:pPr>
        <w:pStyle w:val="Heading2"/>
      </w:pPr>
      <w:r>
        <w:rPr>
          <w:rFonts w:ascii="华文楷体" w:hAnsi="华文楷体" w:eastAsia="华文楷体"/>
        </w:rPr>
        <w:t>1. 浙江政策与政府规划</w:t>
      </w:r>
    </w:p>
    <w:p>
      <w:r>
        <w:rPr>
          <w:rFonts w:ascii="华文楷体" w:hAnsi="华文楷体" w:eastAsia="华文楷体"/>
          <w:sz w:val="22"/>
        </w:rPr>
        <w:t>浙江继续围绕“415X”先进制造业集群、数字经济创新提质和人工智能产业高地建设推进集成电路布局。杭州市集成电路设计、硅光互联、智能物联和 AI 算力硬件基础较强；宁波和绍兴在先进封装、材料、晶圆制造和专用设备方面项目密集；嘉兴、衢州、湖州等地在功率半导体、电子化学品和配套材料方面具备产业承接空间。</w:t>
      </w:r>
    </w:p>
    <w:p>
      <w:r>
        <w:rPr>
          <w:rFonts w:ascii="华文楷体" w:hAnsi="华文楷体" w:eastAsia="华文楷体"/>
          <w:sz w:val="22"/>
        </w:rPr>
        <w:t>省经信厅近期公示 2026 年度专精特新“小巨人”推荐名单，说明浙江仍在通过企业梯度培育强化细分环节冠军。对银行而言，这类名单不是简单荣誉，而是授信筛选入口：企业通常具备技术壁垒和成长性，但现金流容易受研发投入、扩产和客户账期影响，需要“轻准入、强场景、可追踪”的产品组合。</w:t>
      </w:r>
    </w:p>
    <w:p>
      <w:pPr>
        <w:pStyle w:val="Heading2"/>
      </w:pPr>
      <w:r>
        <w:rPr>
          <w:rFonts w:ascii="华文楷体" w:hAnsi="华文楷体" w:eastAsia="华文楷体"/>
        </w:rPr>
        <w:t>2. 浙江重点产业与区域机会</w:t>
      </w:r>
    </w:p>
    <w:p>
      <w:r>
        <w:rPr>
          <w:rFonts w:ascii="华文楷体" w:hAnsi="华文楷体" w:eastAsia="华文楷体"/>
          <w:sz w:val="22"/>
        </w:rPr>
        <w:t>本期最强浙江信号来自三条线：一是宁波余姚先进封装继续加码，甬矽电子计划 103 亿元建设高端 IC 封测三期；二是杭州拱墅“中国算谷”补齐高速硅光模块规模化制造能力，杭钢半山基地投产 800G/1.6T 硅光模块智能制造项目；三是杭州萧山第三代半导体特种芯片企业谱析光晶进入资本化窗口，硬科技创业企业开始从融资驱动转向规模化收入验证。</w:t>
      </w:r>
    </w:p>
    <w:p>
      <w:r>
        <w:rPr>
          <w:rFonts w:ascii="华文楷体" w:hAnsi="华文楷体" w:eastAsia="华文楷体"/>
          <w:sz w:val="22"/>
        </w:rPr>
        <w:t>区域扫客建议优先看杭州拱墅、萧山、滨江、余杭，宁波余姚、镇海、北仑，绍兴滨海新区和越城相关园区。企业类型上，先进封装项目公司、硅光模块和光电互联企业、电子材料新设项目、第三代半导体专精特新企业、设备与测试配套服务商更可能释放新增授信、票据、结算和代发需求。</w:t>
      </w:r>
    </w:p>
    <w:p>
      <w:pPr>
        <w:pStyle w:val="Heading2"/>
      </w:pPr>
      <w:r>
        <w:rPr>
          <w:rFonts w:ascii="华文楷体" w:hAnsi="华文楷体" w:eastAsia="华文楷体"/>
        </w:rPr>
        <w:t>3. 浙江上下游产业链动态</w:t>
      </w:r>
    </w:p>
    <w:p>
      <w:r>
        <w:rPr>
          <w:rFonts w:ascii="华文楷体" w:hAnsi="华文楷体" w:eastAsia="华文楷体"/>
          <w:sz w:val="22"/>
        </w:rPr>
        <w:t>浙江本地产业链正从“单点企业”向“链式项目”升级。宁波先进封装项目会带动设备、厂务、材料、物流和测试服务；杭州硅光模块基地会带动硅光芯片、DSP、封装测试、数据中心客户和出口结算；绍兴电子材料项目会承接江丰电子靶材、电子专用材料等产业链延伸。产业链中的资金需求不只在链主，也在新设项目公司、供应商和工程服务商。</w:t>
      </w:r>
    </w:p>
    <w:p>
      <w:r>
        <w:rPr>
          <w:rFonts w:ascii="华文楷体" w:hAnsi="华文楷体" w:eastAsia="华文楷体"/>
          <w:sz w:val="22"/>
        </w:rPr>
        <w:t>适合批量获客的切口包括：围绕甬矽电子三期项目寻找设备、厂务、洁净室、材料和物流供应商；围绕杭钢半山硅光模块基地寻找光模块、光芯片、测试设备和数据中心上下游；围绕江丰电子绍兴新公司跟进电子专用材料设备采购、原材料备货和票据支付。</w:t>
      </w:r>
    </w:p>
    <w:p>
      <w:pPr>
        <w:pStyle w:val="Heading2"/>
      </w:pPr>
      <w:r>
        <w:rPr>
          <w:rFonts w:ascii="华文楷体" w:hAnsi="华文楷体" w:eastAsia="华文楷体"/>
        </w:rPr>
        <w:t>4. 银行展业机会</w:t>
      </w:r>
    </w:p>
    <w:p>
      <w:r>
        <w:rPr>
          <w:rFonts w:ascii="华文楷体" w:hAnsi="华文楷体" w:eastAsia="华文楷体"/>
          <w:sz w:val="22"/>
        </w:rPr>
        <w:t>1. 先进封装扩产：以甬矽电子三期为核心，跟进项目贷款、银团融资、平安租赁、国内信用证、银票极速贴现和商票e贴。</w:t>
      </w:r>
    </w:p>
    <w:p>
      <w:r>
        <w:rPr>
          <w:rFonts w:ascii="华文楷体" w:hAnsi="华文楷体" w:eastAsia="华文楷体"/>
          <w:sz w:val="22"/>
        </w:rPr>
        <w:t>2. 算力硬件制造：围绕芯速联光电及杭钢数科合资项目，切入设备融资、短贷、数字财资、跨境支付结算和供应链金融。</w:t>
      </w:r>
    </w:p>
    <w:p>
      <w:r>
        <w:rPr>
          <w:rFonts w:ascii="华文楷体" w:hAnsi="华文楷体" w:eastAsia="华文楷体"/>
          <w:sz w:val="22"/>
        </w:rPr>
        <w:t>3. 第三代半导体专精特新：对谱析光晶等高研发企业，以普惠金融科创贷、平安薪、数字财资和资本市场融资服务建立早期关系。</w:t>
      </w:r>
    </w:p>
    <w:p>
      <w:r>
        <w:rPr>
          <w:rFonts w:ascii="华文楷体" w:hAnsi="华文楷体" w:eastAsia="华文楷体"/>
          <w:sz w:val="22"/>
        </w:rPr>
        <w:t>4. 电子材料国产替代：围绕绍兴晶丰光曜、江丰电子及材料供应链，切入付融通、商票贴现、资产池和新银关通。</w:t>
      </w:r>
    </w:p>
    <w:p>
      <w:pPr>
        <w:pStyle w:val="Heading1"/>
      </w:pPr>
      <w:r>
        <w:rPr>
          <w:rFonts w:ascii="华文楷体" w:hAnsi="华文楷体" w:eastAsia="华文楷体"/>
        </w:rPr>
        <w:t>三、重点企业推荐</w:t>
      </w:r>
    </w:p>
    <w:p>
      <w:pPr>
        <w:pStyle w:val="Heading2"/>
      </w:pPr>
      <w:r>
        <w:rPr>
          <w:rFonts w:ascii="华文楷体" w:hAnsi="华文楷体" w:eastAsia="华文楷体"/>
        </w:rPr>
        <w:t>企业名称:甬矽电子（宁波）股份有限公司</w:t>
      </w:r>
    </w:p>
    <w:p>
      <w:r>
        <w:rPr>
          <w:rFonts w:ascii="华文楷体" w:hAnsi="华文楷体" w:eastAsia="华文楷体"/>
          <w:sz w:val="22"/>
        </w:rPr>
        <w:t>推荐等级: 高</w:t>
      </w:r>
    </w:p>
    <w:p>
      <w:r>
        <w:rPr>
          <w:rFonts w:ascii="华文楷体" w:hAnsi="华文楷体" w:eastAsia="华文楷体"/>
          <w:sz w:val="22"/>
        </w:rPr>
        <w:t>所属行业: 先进封装/集成电路封测</w:t>
      </w:r>
    </w:p>
    <w:p>
      <w:r>
        <w:rPr>
          <w:rFonts w:ascii="华文楷体" w:hAnsi="华文楷体" w:eastAsia="华文楷体"/>
          <w:sz w:val="22"/>
        </w:rPr>
        <w:t>所在地区: 宁波余姚</w:t>
      </w:r>
    </w:p>
    <w:p>
      <w:r>
        <w:rPr>
          <w:rFonts w:ascii="华文楷体" w:hAnsi="华文楷体" w:eastAsia="华文楷体"/>
          <w:sz w:val="22"/>
        </w:rPr>
        <w:t>产业链位置: 中游</w:t>
      </w:r>
    </w:p>
    <w:p>
      <w:r>
        <w:rPr>
          <w:rFonts w:ascii="华文楷体" w:hAnsi="华文楷体" w:eastAsia="华文楷体"/>
          <w:sz w:val="22"/>
        </w:rPr>
        <w:t>推荐方向: 项目融资 / 设备融资 / 供应链金融 / 票据 / 跨境结算 / 现金管理</w:t>
      </w:r>
    </w:p>
    <w:p>
      <w:r>
        <w:rPr>
          <w:rFonts w:ascii="华文楷体" w:hAnsi="华文楷体" w:eastAsia="华文楷体"/>
          <w:sz w:val="22"/>
        </w:rPr>
        <w:t>企业关键信息:</w:t>
      </w:r>
    </w:p>
    <w:p>
      <w:r>
        <w:rPr>
          <w:rFonts w:ascii="华文楷体" w:hAnsi="华文楷体" w:eastAsia="华文楷体"/>
          <w:sz w:val="22"/>
        </w:rPr>
        <w:t>基本情况: 公司成立于2017年，位于中意宁波生态园，主营集成电路封装和测试，产品覆盖 FC、SiP、Bumping、WLP、MEMS 等。6月26日公告拟投资 103 亿元建设微电子高端集成电路 IC 封装测试三期项目，产品线包括 BUMP、2.5D、FC、WB 等，预计建设期 96 个月，资金来源包括自有资金、银行贷款或其他自筹资金。</w:t>
      </w:r>
    </w:p>
    <w:p>
      <w:r>
        <w:rPr>
          <w:rFonts w:ascii="华文楷体" w:hAnsi="华文楷体" w:eastAsia="华文楷体"/>
          <w:sz w:val="22"/>
        </w:rPr>
        <w:t>高层与团队背景: 实控人、董事长兼总经理王顺波公开履历显示，本科毕业于电子科技大学机械电子工程专业，曾任日月光封装测试上海工程师、长电科技集成电路事业中心相关管理岗位，具备封测产业工程和经营管理经验。</w:t>
      </w:r>
    </w:p>
    <w:p>
      <w:r>
        <w:rPr>
          <w:rFonts w:ascii="华文楷体" w:hAnsi="华文楷体" w:eastAsia="华文楷体"/>
          <w:sz w:val="22"/>
        </w:rPr>
        <w:t>银行关注点: 管理层来自封测龙头体系，项目投资额大、建设周期长、技术路线聚焦先进封装，决策链条相对清晰，是项目融资和供应链金融的高优先级对象。</w:t>
      </w:r>
    </w:p>
    <w:p>
      <w:r>
        <w:rPr>
          <w:rFonts w:ascii="华文楷体" w:hAnsi="华文楷体" w:eastAsia="华文楷体"/>
          <w:sz w:val="22"/>
        </w:rPr>
        <w:t>推荐理由:</w:t>
      </w:r>
    </w:p>
    <w:p>
      <w:r>
        <w:rPr>
          <w:rFonts w:ascii="华文楷体" w:hAnsi="华文楷体" w:eastAsia="华文楷体"/>
          <w:sz w:val="22"/>
        </w:rPr>
        <w:t>本期出现明确新增触发信号：拟投 103 亿元高端封测三期项目，是浙江本期最具规模的半导体资本开支事件。</w:t>
      </w:r>
    </w:p>
    <w:p>
      <w:r>
        <w:rPr>
          <w:rFonts w:ascii="华文楷体" w:hAnsi="华文楷体" w:eastAsia="华文楷体"/>
          <w:sz w:val="22"/>
        </w:rPr>
        <w:t>项目聚焦 BUMP、2.5D、FC 等先进封装工艺，直接受益 AI 算力、Chiplet 和国产高端芯片需求。</w:t>
      </w:r>
    </w:p>
    <w:p>
      <w:r>
        <w:rPr>
          <w:rFonts w:ascii="华文楷体" w:hAnsi="华文楷体" w:eastAsia="华文楷体"/>
          <w:sz w:val="22"/>
        </w:rPr>
        <w:t>项目建设期长、分阶段投产，银行可从早期设备合同、工程节点、配套供应商和现金管理多点切入。</w:t>
      </w:r>
    </w:p>
    <w:p>
      <w:r>
        <w:rPr>
          <w:rFonts w:ascii="华文楷体" w:hAnsi="华文楷体" w:eastAsia="华文楷体"/>
          <w:sz w:val="22"/>
        </w:rPr>
        <w:t>虽在冷却名单内，但本期新项目足够强，符合锚定例外。</w:t>
      </w:r>
    </w:p>
    <w:p>
      <w:r>
        <w:rPr>
          <w:rFonts w:ascii="华文楷体" w:hAnsi="华文楷体" w:eastAsia="华文楷体"/>
          <w:sz w:val="22"/>
        </w:rPr>
        <w:t>银行展业机会:</w:t>
      </w:r>
    </w:p>
    <w:p>
      <w:r>
        <w:rPr>
          <w:rFonts w:ascii="华文楷体" w:hAnsi="华文楷体" w:eastAsia="华文楷体"/>
          <w:sz w:val="22"/>
        </w:rPr>
        <w:t>企业经营场景是大额扩产、设备采购和供应商付款。金融需求包括项目建设资金、设备融资、票据支付、供应商账期管理和跨境设备/材料结算。平安银行可先从项目贷款/银团融资意向、平安租赁设备方案、国内信用证、银票极速贴现、商票e贴、数字财资和资产池组合切入。</w:t>
      </w:r>
    </w:p>
    <w:p>
      <w:r>
        <w:rPr>
          <w:rFonts w:ascii="华文楷体" w:hAnsi="华文楷体" w:eastAsia="华文楷体"/>
          <w:sz w:val="22"/>
        </w:rPr>
        <w:t>推荐产品组合:</w:t>
      </w:r>
    </w:p>
    <w:p>
      <w:r>
        <w:rPr>
          <w:rFonts w:ascii="华文楷体" w:hAnsi="华文楷体" w:eastAsia="华文楷体"/>
          <w:sz w:val="22"/>
        </w:rPr>
        <w:t>建议以项目贷款/银团融资和平安租赁作为主推产品，解决三期项目厂房与设备投入需求；配套国内信用证、银票极速贴现、商票e贴、数字财资和资产池，用于供应商付款、票据周转和集团资金可视化管理。额度、期限、费率和准入条件待沟通。</w:t>
      </w:r>
    </w:p>
    <w:p>
      <w:r>
        <w:rPr>
          <w:rFonts w:ascii="华文楷体" w:hAnsi="华文楷体" w:eastAsia="华文楷体"/>
          <w:sz w:val="22"/>
        </w:rPr>
        <w:t>客户经理切入话术:</w:t>
      </w:r>
    </w:p>
    <w:p>
      <w:r>
        <w:rPr>
          <w:rFonts w:ascii="华文楷体" w:hAnsi="华文楷体" w:eastAsia="华文楷体"/>
          <w:sz w:val="22"/>
        </w:rPr>
        <w:t>“这次三期项目投资体量大、建设周期长，我们想先围绕设备采购、工程付款和供应商账期帮您做一版融资与票据组合测算，尽量把建设期资金成本和付款效率一起优化。”</w:t>
      </w:r>
    </w:p>
    <w:p>
      <w:r>
        <w:rPr>
          <w:rFonts w:ascii="华文楷体" w:hAnsi="华文楷体" w:eastAsia="华文楷体"/>
          <w:sz w:val="22"/>
        </w:rPr>
        <w:t>风险提示:</w:t>
      </w:r>
    </w:p>
    <w:p>
      <w:r>
        <w:rPr>
          <w:rFonts w:ascii="华文楷体" w:hAnsi="华文楷体" w:eastAsia="华文楷体"/>
          <w:sz w:val="22"/>
        </w:rPr>
        <w:t>项目尚需股东会、用地和行政审批等环节确认，建设期长且资本开支较大；需结合项目批复、设备合同、现金流预测、已有债务、客户订单和实地尽调确认。</w:t>
      </w:r>
    </w:p>
    <w:p>
      <w:pPr>
        <w:pStyle w:val="Heading2"/>
      </w:pPr>
      <w:r>
        <w:rPr>
          <w:rFonts w:ascii="华文楷体" w:hAnsi="华文楷体" w:eastAsia="华文楷体"/>
        </w:rPr>
        <w:t>企业名称:芯速联光电科技（杭州）有限公司</w:t>
      </w:r>
    </w:p>
    <w:p>
      <w:r>
        <w:rPr>
          <w:rFonts w:ascii="华文楷体" w:hAnsi="华文楷体" w:eastAsia="华文楷体"/>
          <w:sz w:val="22"/>
        </w:rPr>
        <w:t>推荐等级: 高</w:t>
      </w:r>
    </w:p>
    <w:p>
      <w:r>
        <w:rPr>
          <w:rFonts w:ascii="华文楷体" w:hAnsi="华文楷体" w:eastAsia="华文楷体"/>
          <w:sz w:val="22"/>
        </w:rPr>
        <w:t>所属行业: 硅光模块/高速光互联</w:t>
      </w:r>
    </w:p>
    <w:p>
      <w:r>
        <w:rPr>
          <w:rFonts w:ascii="华文楷体" w:hAnsi="华文楷体" w:eastAsia="华文楷体"/>
          <w:sz w:val="22"/>
        </w:rPr>
        <w:t>所在地区: 杭州拱墅</w:t>
      </w:r>
    </w:p>
    <w:p>
      <w:r>
        <w:rPr>
          <w:rFonts w:ascii="华文楷体" w:hAnsi="华文楷体" w:eastAsia="华文楷体"/>
          <w:sz w:val="22"/>
        </w:rPr>
        <w:t>产业链位置: 中游 / 下游应用配套</w:t>
      </w:r>
    </w:p>
    <w:p>
      <w:r>
        <w:rPr>
          <w:rFonts w:ascii="华文楷体" w:hAnsi="华文楷体" w:eastAsia="华文楷体"/>
          <w:sz w:val="22"/>
        </w:rPr>
        <w:t>推荐方向: 流动资金 / 设备融资 / 供应链金融 / 跨境结算 / 现金管理 / 代发</w:t>
      </w:r>
    </w:p>
    <w:p>
      <w:r>
        <w:rPr>
          <w:rFonts w:ascii="华文楷体" w:hAnsi="华文楷体" w:eastAsia="华文楷体"/>
          <w:sz w:val="22"/>
        </w:rPr>
        <w:t>企业关键信息:</w:t>
      </w:r>
    </w:p>
    <w:p>
      <w:r>
        <w:rPr>
          <w:rFonts w:ascii="华文楷体" w:hAnsi="华文楷体" w:eastAsia="华文楷体"/>
          <w:sz w:val="22"/>
        </w:rPr>
        <w:t>基本情况: 公司成立于2019年，公开资料显示以硅光及 DSP 技术为核心，面向数据中心和 AI 集群提供高速硅光互联解决方案。6月26日，芯速联光电与杭钢数科合资共建的高速硅光模块智能制造基地在杭钢半山基地投产，规划年产 500 万只 800G/1.6T 高速硅光模块，具备“硅光芯片—模块—测试”全流程能力。</w:t>
      </w:r>
    </w:p>
    <w:p>
      <w:r>
        <w:rPr>
          <w:rFonts w:ascii="华文楷体" w:hAnsi="华文楷体" w:eastAsia="华文楷体"/>
          <w:sz w:val="22"/>
        </w:rPr>
        <w:t>高层与团队背景: 工商公开信息显示董事长/法定代表人为杨明；公司官网披露研发中心分布于杭州、武汉、美国圣何塞、日本东京，核心团队具体学校、导师和完整职业经历未披露。</w:t>
      </w:r>
    </w:p>
    <w:p>
      <w:r>
        <w:rPr>
          <w:rFonts w:ascii="华文楷体" w:hAnsi="华文楷体" w:eastAsia="华文楷体"/>
          <w:sz w:val="22"/>
        </w:rPr>
        <w:t>银行关注点: 企业处于 AI 数据中心高速互联核心环节，与国资数字产业平台合资建线，订单放量后会形成设备、备货、应收、出口结算和研发人员代发需求。</w:t>
      </w:r>
    </w:p>
    <w:p>
      <w:r>
        <w:rPr>
          <w:rFonts w:ascii="华文楷体" w:hAnsi="华文楷体" w:eastAsia="华文楷体"/>
          <w:sz w:val="22"/>
        </w:rPr>
        <w:t>推荐理由:</w:t>
      </w:r>
    </w:p>
    <w:p>
      <w:r>
        <w:rPr>
          <w:rFonts w:ascii="华文楷体" w:hAnsi="华文楷体" w:eastAsia="华文楷体"/>
          <w:sz w:val="22"/>
        </w:rPr>
        <w:t>本期新增触发信号明确：浙江首个高速硅光模块智能制造基地投产，填补省内规模化制造空白。</w:t>
      </w:r>
    </w:p>
    <w:p>
      <w:r>
        <w:rPr>
          <w:rFonts w:ascii="华文楷体" w:hAnsi="华文楷体" w:eastAsia="华文楷体"/>
          <w:sz w:val="22"/>
        </w:rPr>
        <w:t>800G/1.6T 光模块直接服务 AI 数据中心，属于当前算力产业链高景气方向。</w:t>
      </w:r>
    </w:p>
    <w:p>
      <w:r>
        <w:rPr>
          <w:rFonts w:ascii="华文楷体" w:hAnsi="华文楷体" w:eastAsia="华文楷体"/>
          <w:sz w:val="22"/>
        </w:rPr>
        <w:t>与杭钢数科合资共建，具备国资平台、园区资源和产业协同基础，有利于银行获取项目真实交易数据。</w:t>
      </w:r>
    </w:p>
    <w:p>
      <w:r>
        <w:rPr>
          <w:rFonts w:ascii="华文楷体" w:hAnsi="华文楷体" w:eastAsia="华文楷体"/>
          <w:sz w:val="22"/>
        </w:rPr>
        <w:t>该企业不在近期商机表冷却名单内，适合作为本期新增重点标的。</w:t>
      </w:r>
    </w:p>
    <w:p>
      <w:r>
        <w:rPr>
          <w:rFonts w:ascii="华文楷体" w:hAnsi="华文楷体" w:eastAsia="华文楷体"/>
          <w:sz w:val="22"/>
        </w:rPr>
        <w:t>银行展业机会:</w:t>
      </w:r>
    </w:p>
    <w:p>
      <w:r>
        <w:rPr>
          <w:rFonts w:ascii="华文楷体" w:hAnsi="华文楷体" w:eastAsia="华文楷体"/>
          <w:sz w:val="22"/>
        </w:rPr>
        <w:t>企业经营场景是新基地投产、产能爬坡、核心器件采购和数据中心客户交付。金融需求包括设备尾款、原材料备货、订单交付周转、跨境研发和客户回款管理。平安银行可切入普惠金融科创贷、平安透、订单融资、付融通、跨境支付结算、数字财资和平安薪。</w:t>
      </w:r>
    </w:p>
    <w:p>
      <w:r>
        <w:rPr>
          <w:rFonts w:ascii="华文楷体" w:hAnsi="华文楷体" w:eastAsia="华文楷体"/>
          <w:sz w:val="22"/>
        </w:rPr>
        <w:t>推荐产品组合:</w:t>
      </w:r>
    </w:p>
    <w:p>
      <w:r>
        <w:rPr>
          <w:rFonts w:ascii="华文楷体" w:hAnsi="华文楷体" w:eastAsia="华文楷体"/>
          <w:sz w:val="22"/>
        </w:rPr>
        <w:t>建议以普惠金融科创贷和平安透作为主推产品，解决投产后备货和交付周转；配套订单融资、付融通、跨境支付结算、数字财资和平安薪，用于客户订单、上下游账期、跨境研发协同和员工服务。额度、期限、费率和准入条件待沟通。</w:t>
      </w:r>
    </w:p>
    <w:p>
      <w:r>
        <w:rPr>
          <w:rFonts w:ascii="华文楷体" w:hAnsi="华文楷体" w:eastAsia="华文楷体"/>
          <w:sz w:val="22"/>
        </w:rPr>
        <w:t>客户经理切入话术:</w:t>
      </w:r>
    </w:p>
    <w:p>
      <w:r>
        <w:rPr>
          <w:rFonts w:ascii="华文楷体" w:hAnsi="华文楷体" w:eastAsia="华文楷体"/>
          <w:sz w:val="22"/>
        </w:rPr>
        <w:t>“基地刚投产，后面从样品、批量交付到客户回款会有资金节奏变化。我们可以先按订单、采购和回款链条梳理一版授信与结算方案，尽量不打扰正常生产。”</w:t>
      </w:r>
    </w:p>
    <w:p>
      <w:r>
        <w:rPr>
          <w:rFonts w:ascii="华文楷体" w:hAnsi="华文楷体" w:eastAsia="华文楷体"/>
          <w:sz w:val="22"/>
        </w:rPr>
        <w:t>风险提示:</w:t>
      </w:r>
    </w:p>
    <w:p>
      <w:r>
        <w:rPr>
          <w:rFonts w:ascii="华文楷体" w:hAnsi="华文楷体" w:eastAsia="华文楷体"/>
          <w:sz w:val="22"/>
        </w:rPr>
        <w:t>高速光模块竞争激烈，需核实订单锁定、客户结构、毛利水平、核心器件自制比例、合资项目资本金到位和产能爬坡节奏。</w:t>
      </w:r>
    </w:p>
    <w:p>
      <w:pPr>
        <w:pStyle w:val="Heading2"/>
      </w:pPr>
      <w:r>
        <w:rPr>
          <w:rFonts w:ascii="华文楷体" w:hAnsi="华文楷体" w:eastAsia="华文楷体"/>
        </w:rPr>
        <w:t>企业名称:杭州谱析光晶半导体科技有限公司</w:t>
      </w:r>
    </w:p>
    <w:p>
      <w:r>
        <w:rPr>
          <w:rFonts w:ascii="华文楷体" w:hAnsi="华文楷体" w:eastAsia="华文楷体"/>
          <w:sz w:val="22"/>
        </w:rPr>
        <w:t>推荐等级: 中高</w:t>
      </w:r>
    </w:p>
    <w:p>
      <w:r>
        <w:rPr>
          <w:rFonts w:ascii="华文楷体" w:hAnsi="华文楷体" w:eastAsia="华文楷体"/>
          <w:sz w:val="22"/>
        </w:rPr>
        <w:t>所属行业: 第三代半导体特种芯片/极限环境电源系统</w:t>
      </w:r>
    </w:p>
    <w:p>
      <w:r>
        <w:rPr>
          <w:rFonts w:ascii="华文楷体" w:hAnsi="华文楷体" w:eastAsia="华文楷体"/>
          <w:sz w:val="22"/>
        </w:rPr>
        <w:t>所在地区: 杭州萧山</w:t>
      </w:r>
    </w:p>
    <w:p>
      <w:r>
        <w:rPr>
          <w:rFonts w:ascii="华文楷体" w:hAnsi="华文楷体" w:eastAsia="华文楷体"/>
          <w:sz w:val="22"/>
        </w:rPr>
        <w:t>产业链位置: 中游 / 系统方案商</w:t>
      </w:r>
    </w:p>
    <w:p>
      <w:r>
        <w:rPr>
          <w:rFonts w:ascii="华文楷体" w:hAnsi="华文楷体" w:eastAsia="华文楷体"/>
          <w:sz w:val="22"/>
        </w:rPr>
        <w:t>推荐方向: 科创融资 / 现金管理 / 代发 / 资本市场服务 / 供应链金融</w:t>
      </w:r>
    </w:p>
    <w:p>
      <w:r>
        <w:rPr>
          <w:rFonts w:ascii="华文楷体" w:hAnsi="华文楷体" w:eastAsia="华文楷体"/>
          <w:sz w:val="22"/>
        </w:rPr>
        <w:t>企业关键信息:</w:t>
      </w:r>
    </w:p>
    <w:p>
      <w:r>
        <w:rPr>
          <w:rFonts w:ascii="华文楷体" w:hAnsi="华文楷体" w:eastAsia="华文楷体"/>
          <w:sz w:val="22"/>
        </w:rPr>
        <w:t>基本情况: 公司成立于2020年，专注第三代半导体特种芯片和特种电源系统，应用场景包括高温、高可靠工业和特种环境。公开报道显示，公司已进入年产十万台级极限环境半导体芯片与系统批量下线阶段，2025年收入约 2.3 亿元，并在筹备股份制改造和创业板上市路径。</w:t>
      </w:r>
    </w:p>
    <w:p>
      <w:r>
        <w:rPr>
          <w:rFonts w:ascii="华文楷体" w:hAnsi="华文楷体" w:eastAsia="华文楷体"/>
          <w:sz w:val="22"/>
        </w:rPr>
        <w:t>高层与团队背景: 公开资料显示 CEO 许一力来自清华大学电子系，具备芯片设计和工程博士背景；CTO 杨琦为清华电子系本硕博背景，有海外 IT/半导体相关工作经历和第三代半导体功率芯片/系统经验；核心团队多来自清华电子系同班背景。具体导师信息未披露。</w:t>
      </w:r>
    </w:p>
    <w:p>
      <w:r>
        <w:rPr>
          <w:rFonts w:ascii="华文楷体" w:hAnsi="华文楷体" w:eastAsia="华文楷体"/>
          <w:sz w:val="22"/>
        </w:rPr>
        <w:t>银行关注点: 团队技术背景强，企业从研发验证进入收入放量和资本化阶段，银行可从代发、账户、研发周转、小额授信和资本市场服务逐步嵌入。</w:t>
      </w:r>
    </w:p>
    <w:p>
      <w:r>
        <w:rPr>
          <w:rFonts w:ascii="华文楷体" w:hAnsi="华文楷体" w:eastAsia="华文楷体"/>
          <w:sz w:val="22"/>
        </w:rPr>
        <w:t>推荐理由:</w:t>
      </w:r>
    </w:p>
    <w:p>
      <w:r>
        <w:rPr>
          <w:rFonts w:ascii="华文楷体" w:hAnsi="华文楷体" w:eastAsia="华文楷体"/>
          <w:sz w:val="22"/>
        </w:rPr>
        <w:t>第三代半导体特种芯片符合浙江硬科技和专精特新方向，技术壁垒较高。</w:t>
      </w:r>
    </w:p>
    <w:p>
      <w:r>
        <w:rPr>
          <w:rFonts w:ascii="华文楷体" w:hAnsi="华文楷体" w:eastAsia="华文楷体"/>
          <w:sz w:val="22"/>
        </w:rPr>
        <w:t>本期虽非公告型扩产，但近期资本化路径和收入规模被公开关注，说明企业进入银行可跟进窗口。</w:t>
      </w:r>
    </w:p>
    <w:p>
      <w:r>
        <w:rPr>
          <w:rFonts w:ascii="华文楷体" w:hAnsi="华文楷体" w:eastAsia="华文楷体"/>
          <w:sz w:val="22"/>
        </w:rPr>
        <w:t>团队背景公开度较高，有利于判断技术可信度和未来融资能力。</w:t>
      </w:r>
    </w:p>
    <w:p>
      <w:r>
        <w:rPr>
          <w:rFonts w:ascii="华文楷体" w:hAnsi="华文楷体" w:eastAsia="华文楷体"/>
          <w:sz w:val="22"/>
        </w:rPr>
        <w:t>不在近期商机表冷却名单内，可作为新标的补充。</w:t>
      </w:r>
    </w:p>
    <w:p>
      <w:r>
        <w:rPr>
          <w:rFonts w:ascii="华文楷体" w:hAnsi="华文楷体" w:eastAsia="华文楷体"/>
          <w:sz w:val="22"/>
        </w:rPr>
        <w:t>银行展业机会:</w:t>
      </w:r>
    </w:p>
    <w:p>
      <w:r>
        <w:rPr>
          <w:rFonts w:ascii="华文楷体" w:hAnsi="华文楷体" w:eastAsia="华文楷体"/>
          <w:sz w:val="22"/>
        </w:rPr>
        <w:t>企业经营场景是研发投入、批量交付、上市规范和团队扩张。金融需求包括研发周转、订单备货、员工代发、跨行账户管理和资本市场服务。平安银行可用普惠金融科创贷、普惠金融信用贷、数字财资、平安薪、私募基金托管、资本市场融资服务建立关系。</w:t>
      </w:r>
    </w:p>
    <w:p>
      <w:r>
        <w:rPr>
          <w:rFonts w:ascii="华文楷体" w:hAnsi="华文楷体" w:eastAsia="华文楷体"/>
          <w:sz w:val="22"/>
        </w:rPr>
        <w:t>推荐产品组合:</w:t>
      </w:r>
    </w:p>
    <w:p>
      <w:r>
        <w:rPr>
          <w:rFonts w:ascii="华文楷体" w:hAnsi="华文楷体" w:eastAsia="华文楷体"/>
          <w:sz w:val="22"/>
        </w:rPr>
        <w:t>建议以普惠金融科创贷作为主推产品，解决研发和订单交付周转；配套数字财资、平安薪、普惠金融信用贷和资本市场融资服务，用于账户管理、团队代发和后续股改上市准备。额度、期限、费率和准入条件待沟通。</w:t>
      </w:r>
    </w:p>
    <w:p>
      <w:r>
        <w:rPr>
          <w:rFonts w:ascii="华文楷体" w:hAnsi="华文楷体" w:eastAsia="华文楷体"/>
          <w:sz w:val="22"/>
        </w:rPr>
        <w:t>客户经理切入话术:</w:t>
      </w:r>
    </w:p>
    <w:p>
      <w:r>
        <w:rPr>
          <w:rFonts w:ascii="华文楷体" w:hAnsi="华文楷体" w:eastAsia="华文楷体"/>
          <w:sz w:val="22"/>
        </w:rPr>
        <w:t>“您现在从技术验证走向规模化收入和资本化阶段，银行可以先不做重授信打扰，先从研发周转、代发和账户管理切入，再根据订单和股改节奏配置更合适的资金工具。”</w:t>
      </w:r>
    </w:p>
    <w:p>
      <w:r>
        <w:rPr>
          <w:rFonts w:ascii="华文楷体" w:hAnsi="华文楷体" w:eastAsia="华文楷体"/>
          <w:sz w:val="22"/>
        </w:rPr>
        <w:t>风险提示:</w:t>
      </w:r>
    </w:p>
    <w:p>
      <w:r>
        <w:rPr>
          <w:rFonts w:ascii="华文楷体" w:hAnsi="华文楷体" w:eastAsia="华文楷体"/>
          <w:sz w:val="22"/>
        </w:rPr>
        <w:t>非上市企业信息披露有限，需核实收入真实性、客户集中度、产品良率、研发资本化、股权结构、知识产权和核心团队稳定性。</w:t>
      </w:r>
    </w:p>
    <w:p>
      <w:pPr>
        <w:pStyle w:val="Heading2"/>
      </w:pPr>
      <w:r>
        <w:rPr>
          <w:rFonts w:ascii="华文楷体" w:hAnsi="华文楷体" w:eastAsia="华文楷体"/>
        </w:rPr>
        <w:t>企业名称:绍兴晶丰光曜半导体材料有限公司</w:t>
      </w:r>
    </w:p>
    <w:p>
      <w:r>
        <w:rPr>
          <w:rFonts w:ascii="华文楷体" w:hAnsi="华文楷体" w:eastAsia="华文楷体"/>
          <w:sz w:val="22"/>
        </w:rPr>
        <w:t>推荐等级: 中高</w:t>
      </w:r>
    </w:p>
    <w:p>
      <w:r>
        <w:rPr>
          <w:rFonts w:ascii="华文楷体" w:hAnsi="华文楷体" w:eastAsia="华文楷体"/>
          <w:sz w:val="22"/>
        </w:rPr>
        <w:t>所属行业: 电子专用材料/半导体材料</w:t>
      </w:r>
    </w:p>
    <w:p>
      <w:r>
        <w:rPr>
          <w:rFonts w:ascii="华文楷体" w:hAnsi="华文楷体" w:eastAsia="华文楷体"/>
          <w:sz w:val="22"/>
        </w:rPr>
        <w:t>所在地区: 绍兴</w:t>
      </w:r>
    </w:p>
    <w:p>
      <w:r>
        <w:rPr>
          <w:rFonts w:ascii="华文楷体" w:hAnsi="华文楷体" w:eastAsia="华文楷体"/>
          <w:sz w:val="22"/>
        </w:rPr>
        <w:t>产业链位置: 上游</w:t>
      </w:r>
    </w:p>
    <w:p>
      <w:r>
        <w:rPr>
          <w:rFonts w:ascii="华文楷体" w:hAnsi="华文楷体" w:eastAsia="华文楷体"/>
          <w:sz w:val="22"/>
        </w:rPr>
        <w:t>推荐方向: 流动资金 / 设备融资 / 票据 / 供应链金融 / 现金管理</w:t>
      </w:r>
    </w:p>
    <w:p>
      <w:r>
        <w:rPr>
          <w:rFonts w:ascii="华文楷体" w:hAnsi="华文楷体" w:eastAsia="华文楷体"/>
          <w:sz w:val="22"/>
        </w:rPr>
        <w:t>企业关键信息:</w:t>
      </w:r>
    </w:p>
    <w:p>
      <w:r>
        <w:rPr>
          <w:rFonts w:ascii="华文楷体" w:hAnsi="华文楷体" w:eastAsia="华文楷体"/>
          <w:sz w:val="22"/>
        </w:rPr>
        <w:t>基本情况: 公开工商信息显示，公司近期在绍兴成立，注册资本 2 亿元，经营范围包括电子专用材料制造、销售和研发，由宁波江丰电子材料股份有限公司全资持股。</w:t>
      </w:r>
    </w:p>
    <w:p>
      <w:r>
        <w:rPr>
          <w:rFonts w:ascii="华文楷体" w:hAnsi="华文楷体" w:eastAsia="华文楷体"/>
          <w:sz w:val="22"/>
        </w:rPr>
        <w:t>高层与团队背景: 法定代表人为边逸军；公开渠道暂未披露其学校、导师和完整职业履历。母公司江丰电子为国内高纯溅射靶材和半导体材料龙头，具备晶圆厂客户资源和材料工艺积累。</w:t>
      </w:r>
    </w:p>
    <w:p>
      <w:r>
        <w:rPr>
          <w:rFonts w:ascii="华文楷体" w:hAnsi="华文楷体" w:eastAsia="华文楷体"/>
          <w:sz w:val="22"/>
        </w:rPr>
        <w:t>银行关注点: 新设公司背靠上市公司母体，若后续承接电子专用材料项目，早期会出现资本金、设备、原材料、厂务和票据结算需求；银行应重点确认项目定位和母公司支持方式。</w:t>
      </w:r>
    </w:p>
    <w:p>
      <w:r>
        <w:rPr>
          <w:rFonts w:ascii="华文楷体" w:hAnsi="华文楷体" w:eastAsia="华文楷体"/>
          <w:sz w:val="22"/>
        </w:rPr>
        <w:t>推荐理由:</w:t>
      </w:r>
    </w:p>
    <w:p>
      <w:r>
        <w:rPr>
          <w:rFonts w:ascii="华文楷体" w:hAnsi="华文楷体" w:eastAsia="华文楷体"/>
          <w:sz w:val="22"/>
        </w:rPr>
        <w:t>本期新增触发信号明确：江丰电子在绍兴新设全资半导体材料公司，注册资本 2 亿元。</w:t>
      </w:r>
    </w:p>
    <w:p>
      <w:r>
        <w:rPr>
          <w:rFonts w:ascii="华文楷体" w:hAnsi="华文楷体" w:eastAsia="华文楷体"/>
          <w:sz w:val="22"/>
        </w:rPr>
        <w:t>浙江半导体材料是区域优势环节，绍兴与宁波材料、制造和封装链条协同空间较大。</w:t>
      </w:r>
    </w:p>
    <w:p>
      <w:r>
        <w:rPr>
          <w:rFonts w:ascii="华文楷体" w:hAnsi="华文楷体" w:eastAsia="华文楷体"/>
          <w:sz w:val="22"/>
        </w:rPr>
        <w:t>新设项目早期更容易切入开户、结算、代发、设备付款和供应商票据。</w:t>
      </w:r>
    </w:p>
    <w:p>
      <w:r>
        <w:rPr>
          <w:rFonts w:ascii="华文楷体" w:hAnsi="华文楷体" w:eastAsia="华文楷体"/>
          <w:sz w:val="22"/>
        </w:rPr>
        <w:t>母公司虽在冷却名单内，但本次推荐对象为新设项目公司，本期信号独立且具备新增商机属性。</w:t>
      </w:r>
    </w:p>
    <w:p>
      <w:r>
        <w:rPr>
          <w:rFonts w:ascii="华文楷体" w:hAnsi="华文楷体" w:eastAsia="华文楷体"/>
          <w:sz w:val="22"/>
        </w:rPr>
        <w:t>银行展业机会:</w:t>
      </w:r>
    </w:p>
    <w:p>
      <w:r>
        <w:rPr>
          <w:rFonts w:ascii="华文楷体" w:hAnsi="华文楷体" w:eastAsia="华文楷体"/>
          <w:sz w:val="22"/>
        </w:rPr>
        <w:t>企业经营场景是新公司设立、项目筹建、设备采购和原材料供应。金融需求包括账户体系搭建、资本金监管、设备采购付款、供应商票据、原材料备货和未来应收账款管理。平安银行可切入数字财资、资产池、平安租赁、国内信用证、银票极速贴现、商票e贴和付融通。</w:t>
      </w:r>
    </w:p>
    <w:p>
      <w:r>
        <w:rPr>
          <w:rFonts w:ascii="华文楷体" w:hAnsi="华文楷体" w:eastAsia="华文楷体"/>
          <w:sz w:val="22"/>
        </w:rPr>
        <w:t>推荐产品组合:</w:t>
      </w:r>
    </w:p>
    <w:p>
      <w:r>
        <w:rPr>
          <w:rFonts w:ascii="华文楷体" w:hAnsi="华文楷体" w:eastAsia="华文楷体"/>
          <w:sz w:val="22"/>
        </w:rPr>
        <w:t>建议以数字财资和资产池作为主推产品，先占住新公司账户和资金管理入口；配套平安租赁、国内信用证、银票极速贴现、商票e贴和付融通，用于设备采购、供应商付款和材料供应链周转。额度、期限、费率和准入条件待沟通。</w:t>
      </w:r>
    </w:p>
    <w:p>
      <w:r>
        <w:rPr>
          <w:rFonts w:ascii="华文楷体" w:hAnsi="华文楷体" w:eastAsia="华文楷体"/>
          <w:sz w:val="22"/>
        </w:rPr>
        <w:t>客户经理切入话术:</w:t>
      </w:r>
    </w:p>
    <w:p>
      <w:r>
        <w:rPr>
          <w:rFonts w:ascii="华文楷体" w:hAnsi="华文楷体" w:eastAsia="华文楷体"/>
          <w:sz w:val="22"/>
        </w:rPr>
        <w:t>“新公司刚设立，最早需要把账户、资本金、设备付款和供应商结算安排顺。我们可以先按筹建期现金流做一版账户和票据方案，后续再跟项目进度匹配融资。”</w:t>
      </w:r>
    </w:p>
    <w:p>
      <w:r>
        <w:rPr>
          <w:rFonts w:ascii="华文楷体" w:hAnsi="华文楷体" w:eastAsia="华文楷体"/>
          <w:sz w:val="22"/>
        </w:rPr>
        <w:t>风险提示:</w:t>
      </w:r>
    </w:p>
    <w:p>
      <w:r>
        <w:rPr>
          <w:rFonts w:ascii="华文楷体" w:hAnsi="华文楷体" w:eastAsia="华文楷体"/>
          <w:sz w:val="22"/>
        </w:rPr>
        <w:t>新设公司尚缺少经营数据，需核实项目实际落地地点、资本金到位、母公司担保或支持方式、设备采购合同和未来客户导入。</w:t>
      </w:r>
    </w:p>
    <w:p>
      <w:pPr>
        <w:pStyle w:val="Heading1"/>
      </w:pPr>
      <w:r>
        <w:rPr>
          <w:rFonts w:ascii="华文楷体" w:hAnsi="华文楷体" w:eastAsia="华文楷体"/>
        </w:rPr>
        <w:t>四、客户经理行动建议</w:t>
      </w:r>
    </w:p>
    <w:p>
      <w:r>
        <w:rPr>
          <w:rFonts w:ascii="华文楷体" w:hAnsi="华文楷体" w:eastAsia="华文楷体"/>
          <w:sz w:val="22"/>
        </w:rPr>
        <w:t>1. 本周优先拜访甬矽电子（宁波）股份有限公司，围绕 103 亿元三期项目确认审批节点、设备清单、建设节奏和银行贷款/租赁需求。</w:t>
      </w:r>
    </w:p>
    <w:p>
      <w:r>
        <w:rPr>
          <w:rFonts w:ascii="华文楷体" w:hAnsi="华文楷体" w:eastAsia="华文楷体"/>
          <w:sz w:val="22"/>
        </w:rPr>
        <w:t>2. 对接芯速联光电科技（杭州）有限公司及杭钢数科项目团队，先从新基地投产后的备货、订单、回款和跨境研发结算切入。</w:t>
      </w:r>
    </w:p>
    <w:p>
      <w:r>
        <w:rPr>
          <w:rFonts w:ascii="华文楷体" w:hAnsi="华文楷体" w:eastAsia="华文楷体"/>
          <w:sz w:val="22"/>
        </w:rPr>
        <w:t>3. 跟进杭州谱析光晶半导体科技有限公司，建议以科创贷、平安薪、数字财资和资本市场服务做轻量组合，建立股改前关系。</w:t>
      </w:r>
    </w:p>
    <w:p>
      <w:r>
        <w:rPr>
          <w:rFonts w:ascii="华文楷体" w:hAnsi="华文楷体" w:eastAsia="华文楷体"/>
          <w:sz w:val="22"/>
        </w:rPr>
        <w:t>4. 拜访绍兴晶丰光曜半导体材料有限公司或母公司江丰电子绍兴项目负责人，优先争取开户、资本金管理、设备付款和票据业务入口。</w:t>
      </w:r>
    </w:p>
    <w:p>
      <w:r>
        <w:rPr>
          <w:rFonts w:ascii="华文楷体" w:hAnsi="华文楷体" w:eastAsia="华文楷体"/>
          <w:sz w:val="22"/>
        </w:rPr>
        <w:t>5. 内部准备先进封装项目贷款/银团融资、平安租赁、普惠金融科创贷、商票e贴、付融通、数字财资和跨境结算的一页式方案，拜访时按企业实际场景组合呈现。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HeaderChar">
    <w:name w:val="Header Char"/>
    <w:basedOn w:val="DefaultParagraphFont"/>
    <w:link w:val="Header"/>
    <w:uiPriority w:val="99"/>
    <w:rsid w:val="00E618BF"/>
    <w:rPr>
      <w:rFonts w:ascii="华文楷体" w:hAnsi="华文楷体" w:eastAsia="华文楷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FooterChar">
    <w:name w:val="Footer Char"/>
    <w:basedOn w:val="DefaultParagraphFont"/>
    <w:link w:val="Footer"/>
    <w:uiPriority w:val="99"/>
    <w:rsid w:val="00E618BF"/>
    <w:rPr>
      <w:rFonts w:ascii="华文楷体" w:hAnsi="华文楷体" w:eastAsia="华文楷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eastAsia="华文楷体"/>
      <w:i/>
      <w:iCs/>
      <w:color w:val="404040" w:themeColor="text1" w:themeTint="BF"/>
      <w:sz w:val="20"/>
      <w:szCs w:val="20"/>
    </w:rPr>
  </w:style>
  <w:style w:type="character" w:default="1" w:styleId="DefaultParagraphFont">
    <w:name w:val="Default Paragraph Font"/>
    <w:uiPriority w:val="1"/>
    <w:semiHidden/>
    <w:unhideWhenUsed/>
    <w:rPr>
      <w:rFonts w:ascii="华文楷体" w:hAnsi="华文楷体" w:eastAsia="华文楷体"/>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eastAsia="华文楷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eastAsia="华文楷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eastAsia="华文楷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eastAsia="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eastAsia="华文楷体"/>
    </w:rPr>
  </w:style>
  <w:style w:type="paragraph" w:styleId="BodyText">
    <w:name w:val="Body Text"/>
    <w:basedOn w:val="Normal"/>
    <w:link w:val="BodyTextChar"/>
    <w:uiPriority w:val="99"/>
    <w:unhideWhenUsed/>
    <w:rsid w:val="00AA1D8D"/>
    <w:pPr>
      <w:spacing w:after="120"/>
    </w:pPr>
    <w:rPr>
      <w:rFonts w:ascii="华文楷体" w:hAnsi="华文楷体" w:eastAsia="华文楷体"/>
    </w:rPr>
  </w:style>
  <w:style w:type="character" w:customStyle="1" w:styleId="BodyTextChar">
    <w:name w:val="Body Text Char"/>
    <w:basedOn w:val="DefaultParagraphFont"/>
    <w:link w:val="BodyText"/>
    <w:uiPriority w:val="99"/>
    <w:rsid w:val="00AA1D8D"/>
    <w:rPr>
      <w:rFonts w:ascii="华文楷体" w:hAnsi="华文楷体" w:eastAsia="华文楷体"/>
    </w:rPr>
  </w:style>
  <w:style w:type="paragraph" w:styleId="BodyText2">
    <w:name w:val="Body Text 2"/>
    <w:basedOn w:val="Normal"/>
    <w:link w:val="BodyText2Char"/>
    <w:uiPriority w:val="99"/>
    <w:unhideWhenUsed/>
    <w:rsid w:val="00AA1D8D"/>
    <w:pPr>
      <w:spacing w:after="120" w:line="480" w:lineRule="auto"/>
    </w:pPr>
    <w:rPr>
      <w:rFonts w:ascii="华文楷体" w:hAnsi="华文楷体" w:eastAsia="华文楷体"/>
    </w:rPr>
  </w:style>
  <w:style w:type="character" w:customStyle="1" w:styleId="BodyText2Char">
    <w:name w:val="Body Text 2 Char"/>
    <w:basedOn w:val="DefaultParagraphFont"/>
    <w:link w:val="BodyText2"/>
    <w:uiPriority w:val="99"/>
    <w:rsid w:val="00AA1D8D"/>
    <w:rPr>
      <w:rFonts w:ascii="华文楷体" w:hAnsi="华文楷体" w:eastAsia="华文楷体"/>
    </w:rPr>
  </w:style>
  <w:style w:type="paragraph" w:styleId="BodyText3">
    <w:name w:val="Body Text 3"/>
    <w:basedOn w:val="Normal"/>
    <w:link w:val="BodyText3Char"/>
    <w:uiPriority w:val="99"/>
    <w:unhideWhenUsed/>
    <w:rsid w:val="00AA1D8D"/>
    <w:pPr>
      <w:spacing w:after="120"/>
    </w:pPr>
    <w:rPr>
      <w:rFonts w:ascii="华文楷体" w:hAnsi="华文楷体" w:eastAsia="华文楷体"/>
      <w:sz w:val="16"/>
      <w:szCs w:val="16"/>
    </w:rPr>
  </w:style>
  <w:style w:type="character" w:customStyle="1" w:styleId="BodyText3Char">
    <w:name w:val="Body Text 3 Char"/>
    <w:basedOn w:val="DefaultParagraphFont"/>
    <w:link w:val="BodyText3"/>
    <w:uiPriority w:val="99"/>
    <w:rsid w:val="00AA1D8D"/>
    <w:rPr>
      <w:rFonts w:ascii="华文楷体" w:hAnsi="华文楷体" w:eastAsia="华文楷体"/>
      <w:sz w:val="16"/>
      <w:szCs w:val="16"/>
    </w:rPr>
  </w:style>
  <w:style w:type="paragraph" w:styleId="List">
    <w:name w:val="List"/>
    <w:basedOn w:val="Normal"/>
    <w:uiPriority w:val="99"/>
    <w:unhideWhenUsed/>
    <w:rsid w:val="00AA1D8D"/>
    <w:pPr>
      <w:ind w:left="360" w:hanging="360"/>
      <w:contextualSpacing/>
    </w:pPr>
    <w:rPr>
      <w:rFonts w:ascii="华文楷体" w:hAnsi="华文楷体" w:eastAsia="华文楷体"/>
    </w:rPr>
  </w:style>
  <w:style w:type="paragraph" w:styleId="List2">
    <w:name w:val="List 2"/>
    <w:basedOn w:val="Normal"/>
    <w:uiPriority w:val="99"/>
    <w:unhideWhenUsed/>
    <w:rsid w:val="00326F90"/>
    <w:pPr>
      <w:ind w:left="720" w:hanging="360"/>
      <w:contextualSpacing/>
    </w:pPr>
    <w:rPr>
      <w:rFonts w:ascii="华文楷体" w:hAnsi="华文楷体" w:eastAsia="华文楷体"/>
    </w:rPr>
  </w:style>
  <w:style w:type="paragraph" w:styleId="List3">
    <w:name w:val="List 3"/>
    <w:basedOn w:val="Normal"/>
    <w:uiPriority w:val="99"/>
    <w:unhideWhenUsed/>
    <w:rsid w:val="00326F90"/>
    <w:pPr>
      <w:ind w:left="1080" w:hanging="360"/>
      <w:contextualSpacing/>
    </w:pPr>
    <w:rPr>
      <w:rFonts w:ascii="华文楷体" w:hAnsi="华文楷体" w:eastAsia="华文楷体"/>
    </w:rPr>
  </w:style>
  <w:style w:type="paragraph" w:styleId="ListBullet">
    <w:name w:val="List Bullet"/>
    <w:basedOn w:val="Normal"/>
    <w:uiPriority w:val="99"/>
    <w:unhideWhenUsed/>
    <w:rsid w:val="00326F90"/>
    <w:pPr>
      <w:numPr>
        <w:numId w:val="1"/>
      </w:numPr>
      <w:contextualSpacing/>
    </w:pPr>
    <w:rPr>
      <w:rFonts w:ascii="华文楷体" w:hAnsi="华文楷体" w:eastAsia="华文楷体"/>
    </w:rPr>
  </w:style>
  <w:style w:type="paragraph" w:styleId="ListBullet2">
    <w:name w:val="List Bullet 2"/>
    <w:basedOn w:val="Normal"/>
    <w:uiPriority w:val="99"/>
    <w:unhideWhenUsed/>
    <w:rsid w:val="00326F90"/>
    <w:pPr>
      <w:numPr>
        <w:numId w:val="2"/>
      </w:numPr>
      <w:contextualSpacing/>
    </w:pPr>
    <w:rPr>
      <w:rFonts w:ascii="华文楷体" w:hAnsi="华文楷体" w:eastAsia="华文楷体"/>
    </w:rPr>
  </w:style>
  <w:style w:type="paragraph" w:styleId="ListBullet3">
    <w:name w:val="List Bullet 3"/>
    <w:basedOn w:val="Normal"/>
    <w:uiPriority w:val="99"/>
    <w:unhideWhenUsed/>
    <w:rsid w:val="00326F90"/>
    <w:pPr>
      <w:numPr>
        <w:numId w:val="3"/>
      </w:numPr>
      <w:contextualSpacing/>
    </w:pPr>
    <w:rPr>
      <w:rFonts w:ascii="华文楷体" w:hAnsi="华文楷体" w:eastAsia="华文楷体"/>
    </w:rPr>
  </w:style>
  <w:style w:type="paragraph" w:styleId="ListNumber">
    <w:name w:val="List Number"/>
    <w:basedOn w:val="Normal"/>
    <w:uiPriority w:val="99"/>
    <w:unhideWhenUsed/>
    <w:rsid w:val="00326F90"/>
    <w:pPr>
      <w:numPr>
        <w:numId w:val="5"/>
      </w:numPr>
      <w:contextualSpacing/>
    </w:pPr>
    <w:rPr>
      <w:rFonts w:ascii="华文楷体" w:hAnsi="华文楷体" w:eastAsia="华文楷体"/>
    </w:rPr>
  </w:style>
  <w:style w:type="paragraph" w:styleId="ListNumber2">
    <w:name w:val="List Number 2"/>
    <w:basedOn w:val="Normal"/>
    <w:uiPriority w:val="99"/>
    <w:unhideWhenUsed/>
    <w:rsid w:val="0029639D"/>
    <w:pPr>
      <w:numPr>
        <w:numId w:val="6"/>
      </w:numPr>
      <w:contextualSpacing/>
    </w:pPr>
    <w:rPr>
      <w:rFonts w:ascii="华文楷体" w:hAnsi="华文楷体" w:eastAsia="华文楷体"/>
    </w:rPr>
  </w:style>
  <w:style w:type="paragraph" w:styleId="ListNumber3">
    <w:name w:val="List Number 3"/>
    <w:basedOn w:val="Normal"/>
    <w:uiPriority w:val="99"/>
    <w:unhideWhenUsed/>
    <w:rsid w:val="0029639D"/>
    <w:pPr>
      <w:numPr>
        <w:numId w:val="7"/>
      </w:numPr>
      <w:contextualSpacing/>
    </w:pPr>
    <w:rPr>
      <w:rFonts w:ascii="华文楷体" w:hAnsi="华文楷体" w:eastAsia="华文楷体"/>
    </w:rPr>
  </w:style>
  <w:style w:type="paragraph" w:styleId="ListContinue">
    <w:name w:val="List Continue"/>
    <w:basedOn w:val="Normal"/>
    <w:uiPriority w:val="99"/>
    <w:unhideWhenUsed/>
    <w:rsid w:val="0029639D"/>
    <w:pPr>
      <w:spacing w:after="120"/>
      <w:ind w:left="360"/>
      <w:contextualSpacing/>
    </w:pPr>
    <w:rPr>
      <w:rFonts w:ascii="华文楷体" w:hAnsi="华文楷体" w:eastAsia="华文楷体"/>
    </w:rPr>
  </w:style>
  <w:style w:type="paragraph" w:styleId="ListContinue2">
    <w:name w:val="List Continue 2"/>
    <w:basedOn w:val="Normal"/>
    <w:uiPriority w:val="99"/>
    <w:unhideWhenUsed/>
    <w:rsid w:val="0029639D"/>
    <w:pPr>
      <w:spacing w:after="120"/>
      <w:ind w:left="720"/>
      <w:contextualSpacing/>
    </w:pPr>
    <w:rPr>
      <w:rFonts w:ascii="华文楷体" w:hAnsi="华文楷体" w:eastAsia="华文楷体"/>
    </w:rPr>
  </w:style>
  <w:style w:type="paragraph" w:styleId="ListContinue3">
    <w:name w:val="List Continue 3"/>
    <w:basedOn w:val="Normal"/>
    <w:uiPriority w:val="99"/>
    <w:unhideWhenUsed/>
    <w:rsid w:val="0029639D"/>
    <w:pPr>
      <w:spacing w:after="120"/>
      <w:ind w:left="1080"/>
      <w:contextualSpacing/>
    </w:pPr>
    <w:rPr>
      <w:rFonts w:ascii="华文楷体" w:hAnsi="华文楷体"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eastAsia="华文楷体"/>
      <w:sz w:val="20"/>
      <w:szCs w:val="20"/>
    </w:rPr>
  </w:style>
  <w:style w:type="character" w:customStyle="1" w:styleId="MacroTextChar">
    <w:name w:val="Macro Text Char"/>
    <w:basedOn w:val="DefaultParagraphFont"/>
    <w:link w:val="MacroText"/>
    <w:uiPriority w:val="99"/>
    <w:rsid w:val="0029639D"/>
    <w:rPr>
      <w:rFonts w:ascii="华文楷体" w:hAnsi="华文楷体" w:eastAsia="华文楷体"/>
      <w:sz w:val="20"/>
      <w:szCs w:val="20"/>
    </w:rPr>
  </w:style>
  <w:style w:type="paragraph" w:styleId="Quote">
    <w:name w:val="Quote"/>
    <w:basedOn w:val="Normal"/>
    <w:next w:val="Normal"/>
    <w:link w:val="QuoteChar"/>
    <w:uiPriority w:val="29"/>
    <w:qFormat/>
    <w:rsid w:val="00FC693F"/>
    <w:rPr>
      <w:rFonts w:ascii="华文楷体" w:hAnsi="华文楷体" w:eastAsia="华文楷体"/>
      <w:i/>
      <w:iCs/>
      <w:color w:val="000000" w:themeColor="text1"/>
    </w:rPr>
  </w:style>
  <w:style w:type="character" w:customStyle="1" w:styleId="QuoteChar">
    <w:name w:val="Quote Char"/>
    <w:basedOn w:val="DefaultParagraphFont"/>
    <w:link w:val="Quote"/>
    <w:uiPriority w:val="29"/>
    <w:rsid w:val="00FC693F"/>
    <w:rPr>
      <w:rFonts w:ascii="华文楷体" w:hAnsi="华文楷体" w:eastAsia="华文楷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eastAsia="华文楷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eastAsia="华文楷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eastAsia="华文楷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eastAsia="华文楷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eastAsia="华文楷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eastAsia="华文楷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eastAsia="华文楷体"/>
      <w:b/>
      <w:bCs/>
      <w:color w:val="4F81BD" w:themeColor="accent1"/>
      <w:sz w:val="18"/>
      <w:szCs w:val="18"/>
    </w:rPr>
  </w:style>
  <w:style w:type="character" w:styleId="Strong">
    <w:name w:val="Strong"/>
    <w:basedOn w:val="DefaultParagraphFont"/>
    <w:uiPriority w:val="22"/>
    <w:qFormat/>
    <w:rsid w:val="00FC693F"/>
    <w:rPr>
      <w:rFonts w:ascii="华文楷体" w:hAnsi="华文楷体" w:eastAsia="华文楷体"/>
      <w:b/>
      <w:bCs/>
    </w:rPr>
  </w:style>
  <w:style w:type="character" w:styleId="Emphasis">
    <w:name w:val="Emphasis"/>
    <w:basedOn w:val="DefaultParagraphFont"/>
    <w:uiPriority w:val="20"/>
    <w:qFormat/>
    <w:rsid w:val="00FC693F"/>
    <w:rPr>
      <w:rFonts w:ascii="华文楷体" w:hAnsi="华文楷体" w:eastAsia="华文楷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eastAsia="华文楷体"/>
      <w:b/>
      <w:bCs/>
      <w:i/>
      <w:iCs/>
      <w:color w:val="4F81BD" w:themeColor="accent1"/>
    </w:rPr>
  </w:style>
  <w:style w:type="character" w:customStyle="1" w:styleId="IntenseQuoteChar">
    <w:name w:val="Intense Quote Char"/>
    <w:basedOn w:val="DefaultParagraphFont"/>
    <w:link w:val="IntenseQuote"/>
    <w:uiPriority w:val="30"/>
    <w:rsid w:val="00FC693F"/>
    <w:rPr>
      <w:rFonts w:ascii="华文楷体" w:hAnsi="华文楷体" w:eastAsia="华文楷体"/>
      <w:b/>
      <w:bCs/>
      <w:i/>
      <w:iCs/>
      <w:color w:val="4F81BD" w:themeColor="accent1"/>
    </w:rPr>
  </w:style>
  <w:style w:type="character" w:styleId="SubtleEmphasis">
    <w:name w:val="Subtle Emphasis"/>
    <w:basedOn w:val="DefaultParagraphFont"/>
    <w:uiPriority w:val="19"/>
    <w:qFormat/>
    <w:rsid w:val="00FC693F"/>
    <w:rPr>
      <w:rFonts w:ascii="华文楷体" w:hAnsi="华文楷体" w:eastAsia="华文楷体"/>
      <w:i/>
      <w:iCs/>
      <w:color w:val="808080" w:themeColor="text1" w:themeTint="7F"/>
    </w:rPr>
  </w:style>
  <w:style w:type="character" w:styleId="IntenseEmphasis">
    <w:name w:val="Intense Emphasis"/>
    <w:basedOn w:val="DefaultParagraphFont"/>
    <w:uiPriority w:val="21"/>
    <w:qFormat/>
    <w:rsid w:val="00FC693F"/>
    <w:rPr>
      <w:rFonts w:ascii="华文楷体" w:hAnsi="华文楷体" w:eastAsia="华文楷体"/>
      <w:b/>
      <w:bCs/>
      <w:i/>
      <w:iCs/>
      <w:color w:val="4F81BD" w:themeColor="accent1"/>
    </w:rPr>
  </w:style>
  <w:style w:type="character" w:styleId="SubtleReference">
    <w:name w:val="Subtle Reference"/>
    <w:basedOn w:val="DefaultParagraphFont"/>
    <w:uiPriority w:val="31"/>
    <w:qFormat/>
    <w:rsid w:val="00FC693F"/>
    <w:rPr>
      <w:rFonts w:ascii="华文楷体" w:hAnsi="华文楷体" w:eastAsia="华文楷体"/>
      <w:smallCaps/>
      <w:color w:val="C0504D" w:themeColor="accent2"/>
      <w:u w:val="single"/>
    </w:rPr>
  </w:style>
  <w:style w:type="character" w:styleId="IntenseReference">
    <w:name w:val="Intense Reference"/>
    <w:basedOn w:val="DefaultParagraphFont"/>
    <w:uiPriority w:val="32"/>
    <w:qFormat/>
    <w:rsid w:val="00FC693F"/>
    <w:rPr>
      <w:rFonts w:ascii="华文楷体" w:hAnsi="华文楷体" w:eastAsia="华文楷体"/>
      <w:b/>
      <w:bCs/>
      <w:smallCaps/>
      <w:color w:val="C0504D" w:themeColor="accent2"/>
      <w:spacing w:val="5"/>
      <w:u w:val="single"/>
    </w:rPr>
  </w:style>
  <w:style w:type="character" w:styleId="BookTitle">
    <w:name w:val="Book Title"/>
    <w:basedOn w:val="DefaultParagraphFont"/>
    <w:uiPriority w:val="33"/>
    <w:qFormat/>
    <w:rsid w:val="00FC693F"/>
    <w:rPr>
      <w:rFonts w:ascii="华文楷体" w:hAnsi="华文楷体" w:eastAsia="华文楷体"/>
      <w:b/>
      <w:bCs/>
      <w:smallCaps/>
      <w:spacing w:val="5"/>
    </w:rPr>
  </w:style>
  <w:style w:type="paragraph" w:styleId="TOCHeading">
    <w:name w:val="TOC Heading"/>
    <w:basedOn w:val="Heading1"/>
    <w:next w:val="Normal"/>
    <w:uiPriority w:val="39"/>
    <w:semiHidden/>
    <w:unhideWhenUsed/>
    <w:qFormat/>
    <w:rsid w:val="00FC693F"/>
    <w:pPr>
      <w:outlineLvl w:val="9"/>
    </w:pPr>
    <w:rPr>
      <w:rFonts w:ascii="华文楷体" w:hAnsi="华文楷体" w:eastAsia="华文楷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