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华文楷体" w:hAnsi="华文楷体" w:eastAsia="华文楷体"/>
          <w:sz w:val="22"/>
        </w:rPr>
        <w:t>人工智能行业商机周报</w:t>
      </w:r>
    </w:p>
    <w:p>
      <w:pPr/>
      <w:r>
        <w:rPr>
          <w:rFonts w:ascii="华文楷体" w:hAnsi="华文楷体" w:eastAsia="华文楷体"/>
          <w:sz w:val="22"/>
        </w:rPr>
        <w:t>*Word版下载： https://qcn8k445rrbc.feishu.cn/file/LQYIbqUBsoLEoDx4o1PcxiDWnng</w:t>
      </w:r>
    </w:p>
    <w:p>
      <w:pPr/>
      <w:r>
        <w:rPr>
          <w:rFonts w:ascii="华文楷体" w:hAnsi="华文楷体" w:eastAsia="华文楷体"/>
          <w:sz w:val="22"/>
        </w:rPr>
        <w:t>*覆盖周期： 2026.05.16-05.22</w:t>
      </w:r>
    </w:p>
    <w:p>
      <w:pPr/>
      <w:r>
        <w:rPr>
          <w:rFonts w:ascii="华文楷体" w:hAnsi="华文楷体" w:eastAsia="华文楷体"/>
          <w:sz w:val="22"/>
        </w:rPr>
        <w:t>*资料来源： 国务院/新华网、财联社、同花顺、新华网科技、经济观察网、杭州网、中新网、投资界、科创板日报、iFinD新闻与公告检索、公开企业资料。</w:t>
      </w:r>
    </w:p>
    <w:p>
      <w:pPr>
        <w:pStyle w:val="Heading1"/>
      </w:pPr>
      <w:r>
        <w:rPr>
          <w:rFonts w:ascii="华文楷体" w:hAnsi="华文楷体" w:eastAsia="华文楷体"/>
          <w:sz w:val="22"/>
        </w:rPr>
        <w:t>一、行业动态与发展总结</w:t>
      </w:r>
    </w:p>
    <w:p>
      <w:pPr>
        <w:pStyle w:val="Heading2"/>
      </w:pPr>
      <w:r>
        <w:rPr>
          <w:rFonts w:ascii="华文楷体" w:hAnsi="华文楷体" w:eastAsia="华文楷体"/>
          <w:sz w:val="22"/>
        </w:rPr>
        <w:t>1. 近期政策变动</w:t>
      </w:r>
    </w:p>
    <w:p>
      <w:pPr/>
      <w:r>
        <w:rPr>
          <w:rFonts w:ascii="华文楷体" w:hAnsi="华文楷体" w:eastAsia="华文楷体"/>
          <w:sz w:val="22"/>
        </w:rPr>
        <w:t>本周人工智能政策信号集中在“AI+制造”、智能机器人和算力基础设施三条主线。5月18日，国务院总理李强在北京调研智能机器人与先进制造融合，强调加强基础研究、突破关键核心技术，推动整机、关键零部件、智能决策与控制系统创新，并支持更多企业把AI贯穿研发设计、生产制造、经营管理和售后服务全过程。</w:t>
      </w:r>
    </w:p>
    <w:p>
      <w:pPr/>
      <w:r>
        <w:rPr>
          <w:rFonts w:ascii="华文楷体" w:hAnsi="华文楷体" w:eastAsia="华文楷体"/>
          <w:sz w:val="22"/>
        </w:rPr>
        <w:t>围绕“十五五”开局，国家层面对具身智能、算力网、科学智能和国产软硬件生态的调研密度明显提高。近期高层调研覆盖北京人形机器人创新中心、小米汽车、上海人工智能实验室以及算力网建设，说明政策重心已从单点模型能力转向“模型、算力、能源、应用场景”协同建设。</w:t>
      </w:r>
    </w:p>
    <w:p>
      <w:pPr/>
      <w:r>
        <w:rPr>
          <w:rFonts w:ascii="华文楷体" w:hAnsi="华文楷体" w:eastAsia="华文楷体"/>
          <w:sz w:val="22"/>
        </w:rPr>
        <w:t>上市公司公告中也能看到政策牵引。天奇股份申报稿披露，其募投项目包括汽车装备智能制造基地和面向汽车行业应用的机器人具身智能系统研发中心；公告中引用“人工智能+制造”方向，强调推动智能机器人在焊接、喷涂、总装等环节规模化应用，打造汽车行业具身智能示范产线。</w:t>
      </w:r>
    </w:p>
    <w:p>
      <w:pPr/>
      <w:r>
        <w:rPr>
          <w:rFonts w:ascii="华文楷体" w:hAnsi="华文楷体" w:eastAsia="华文楷体"/>
          <w:sz w:val="22"/>
        </w:rPr>
        <w:t>综合影响闭环：国家政策正在把AI从模型竞赛导入制造、能源和机器人应用场景，企业侧会出现设备更新、研发平台建设、算力采购、数据采集、场景中试和订单交付等资金需求。银行可围绕“智能化改造项目、AI设备采购、核心企业上下游订单、算力与能源基础设施”设计融资、票据、供应链金融、科技金融和现金管理方案。</w:t>
      </w:r>
    </w:p>
    <w:p>
      <w:pPr>
        <w:pStyle w:val="Heading2"/>
      </w:pPr>
      <w:r>
        <w:rPr>
          <w:rFonts w:ascii="华文楷体" w:hAnsi="华文楷体" w:eastAsia="华文楷体"/>
          <w:sz w:val="22"/>
        </w:rPr>
        <w:t>2. 政府规划与产业方向</w:t>
      </w:r>
    </w:p>
    <w:p>
      <w:pPr/>
      <w:r>
        <w:rPr>
          <w:rFonts w:ascii="华文楷体" w:hAnsi="华文楷体" w:eastAsia="华文楷体"/>
          <w:sz w:val="22"/>
        </w:rPr>
        <w:t>全国层面，人工智能产业方向由“通用模型能力”转向“AI基础设施主权+规模化应用”。算力网建设、电力保障、国产芯片适配、行业大模型和智能体应用成为政策与资本共同关注的重点。国务院调研智能机器人，发改委关注科学智能和国产软硬件生态，相关部委推动AI在制造、交通、能源、政务和公共治理等领域落地。</w:t>
      </w:r>
    </w:p>
    <w:p>
      <w:pPr/>
      <w:r>
        <w:rPr>
          <w:rFonts w:ascii="华文楷体" w:hAnsi="华文楷体" w:eastAsia="华文楷体"/>
          <w:sz w:val="22"/>
        </w:rPr>
        <w:t>资本侧也在强化产业方向。国家人工智能产业投资基金已进入具身智能、DPU和智能驾驶相关赛道，600亿元基金规模对产业链关键环节形成耐心资本支撑。行业含义是，未来三年更容易获得政策和资金支持的企业，不只是大模型厂商，还包括国产算力、机器人本体、关键零部件、能源调度、工业智能化和场景运营商。</w:t>
      </w:r>
    </w:p>
    <w:p>
      <w:pPr>
        <w:pStyle w:val="Heading2"/>
      </w:pPr>
      <w:r>
        <w:rPr>
          <w:rFonts w:ascii="华文楷体" w:hAnsi="华文楷体" w:eastAsia="华文楷体"/>
          <w:sz w:val="22"/>
        </w:rPr>
        <w:t>3. 行业发展趋势</w:t>
      </w:r>
    </w:p>
    <w:p>
      <w:pPr/>
      <w:r>
        <w:rPr>
          <w:rFonts w:ascii="华文楷体" w:hAnsi="华文楷体" w:eastAsia="华文楷体"/>
          <w:sz w:val="22"/>
        </w:rPr>
        <w:t>人工智能行业处于“高景气但分化加速”阶段。大模型从参数和榜单竞争转向低成本推理、智能体编排和垂直场景交付；算力从训练需求扩展到推理需求，数据中心、GPU/HBM、光模块、电力设备和散热仍受益；具身智能进入量产验证和场景中试阶段，但商业化仍依赖真实订单、可靠性和售后体系。</w:t>
      </w:r>
    </w:p>
    <w:p>
      <w:pPr/>
      <w:r>
        <w:rPr>
          <w:rFonts w:ascii="华文楷体" w:hAnsi="华文楷体" w:eastAsia="华文楷体"/>
          <w:sz w:val="22"/>
        </w:rPr>
        <w:t>更值得银行关注的企业类型包括：已进入政府或龙头企业场景的机器人公司；具备核心客户订单的工业视觉、AI电力、AI设计软件和智能制造服务商；围绕AI数据中心提供供电、运维、节能、安全和零碳园区解决方案的企业；具备上市、融资、并购或股权融资预期的高成长科技企业。</w:t>
      </w:r>
    </w:p>
    <w:p>
      <w:pPr/>
      <w:r>
        <w:rPr>
          <w:rFonts w:ascii="华文楷体" w:hAnsi="华文楷体" w:eastAsia="华文楷体"/>
          <w:sz w:val="22"/>
        </w:rPr>
        <w:t>风险方面，AI项目可能存在估值过热、收入确认周期长、硬件库存占用、算力资产折旧、客户集中、政策依赖和数据合规风险。客户经理在授信前应核实订单合同、回款周期、研发资本化比例、核心客户真实性、知识产权和实际现金流。</w:t>
      </w:r>
    </w:p>
    <w:p>
      <w:pPr>
        <w:pStyle w:val="Heading2"/>
      </w:pPr>
      <w:r>
        <w:rPr>
          <w:rFonts w:ascii="华文楷体" w:hAnsi="华文楷体" w:eastAsia="华文楷体"/>
          <w:sz w:val="22"/>
        </w:rPr>
        <w:t>4. 上下游产业链动态</w:t>
      </w:r>
    </w:p>
    <w:p>
      <w:pPr/>
      <w:r>
        <w:rPr>
          <w:rFonts w:ascii="华文楷体" w:hAnsi="华文楷体" w:eastAsia="华文楷体"/>
          <w:sz w:val="22"/>
        </w:rPr>
        <w:t>上游算力与能源仍是瓶颈。iFinD检索显示，AI算力需求持续攀升，数据中心芯片企业订单和资本开支仍在上行；全球AI融资潮使GPU、CPU、HBM、光模块、服务器、电力设备和高性能网络设备需求保持高位。电力侧，算力中心和机器人产业对新能源接入、园区电力调度、能耗管理提出更高要求。</w:t>
      </w:r>
    </w:p>
    <w:p>
      <w:pPr/>
      <w:r>
        <w:rPr>
          <w:rFonts w:ascii="华文楷体" w:hAnsi="华文楷体" w:eastAsia="华文楷体"/>
          <w:sz w:val="22"/>
        </w:rPr>
        <w:t>中游模型与应用层开始从项目制转向产品化、订阅制和软硬件一体交付。科创板人工智能企业在业绩会上普遍提到AI智能体规模化落地、AI安全、具身智能和端侧工业视觉。下游需求集中在智能制造、文旅导览、巡检安防、电力运维、汽车产线、建筑设计、养老康养和零碳园区。</w:t>
      </w:r>
    </w:p>
    <w:p>
      <w:pPr/>
      <w:r>
        <w:rPr>
          <w:rFonts w:ascii="华文楷体" w:hAnsi="华文楷体" w:eastAsia="华文楷体"/>
          <w:sz w:val="22"/>
        </w:rPr>
        <w:t>资金占用更大的环节在硬件备货、机器人样机和量产、算力服务器采购、客户账期和项目实施。适合银行切入的场景包括设备融资、科技创新和技术更新改造再贷款、银票贴现、订单融资、付融通、商票保贴、数字财资和供应链金融。</w:t>
      </w:r>
    </w:p>
    <w:p>
      <w:pPr>
        <w:pStyle w:val="Heading1"/>
      </w:pPr>
      <w:r>
        <w:rPr>
          <w:rFonts w:ascii="华文楷体" w:hAnsi="华文楷体" w:eastAsia="华文楷体"/>
          <w:sz w:val="22"/>
        </w:rPr>
        <w:t>二、浙江地区动态与区域机会</w:t>
      </w:r>
    </w:p>
    <w:p>
      <w:pPr>
        <w:pStyle w:val="Heading2"/>
      </w:pPr>
      <w:r>
        <w:rPr>
          <w:rFonts w:ascii="华文楷体" w:hAnsi="华文楷体" w:eastAsia="华文楷体"/>
          <w:sz w:val="22"/>
        </w:rPr>
        <w:t>1. 浙江政策与政府规划</w:t>
      </w:r>
    </w:p>
    <w:p>
      <w:pPr/>
      <w:r>
        <w:rPr>
          <w:rFonts w:ascii="华文楷体" w:hAnsi="华文楷体" w:eastAsia="华文楷体"/>
          <w:sz w:val="22"/>
        </w:rPr>
        <w:t>浙江本周最重要的AI信号来自杭州具身智能和浙江科技金融。5月16日，国家人工智能应用中试基地（具身智能）在杭州高新区（滨江）揭牌。杭州此前已提出争创全国人工智能创新发展第一城，并出台具身智能领域地方性法规，滨江区发布“数据、算力、模型”三位一体政策体系，提供算力券、语料券、基础设施使用补助和具身智能综合保险。</w:t>
      </w:r>
    </w:p>
    <w:p>
      <w:pPr/>
      <w:r>
        <w:rPr>
          <w:rFonts w:ascii="华文楷体" w:hAnsi="华文楷体" w:eastAsia="华文楷体"/>
          <w:sz w:val="22"/>
        </w:rPr>
        <w:t>5月20日，浙江金融“五篇大文章”新闻发布会披露，截至2026年3月末，浙江科技、绿色、普惠、养老产业、数字经济产业贷款余额同比均增长，其中人工智能相关产业贷款余额同比增长13.1%。浙江围绕人工智能、集成电路等关键领域推出“算力贷”“数据资产质押贷款”等金融产品，并将围绕海洋经济、“人工智能+”等场景出台针对性金融支持举措。</w:t>
      </w:r>
    </w:p>
    <w:p>
      <w:pPr/>
      <w:r>
        <w:rPr>
          <w:rFonts w:ascii="华文楷体" w:hAnsi="华文楷体" w:eastAsia="华文楷体"/>
          <w:sz w:val="22"/>
        </w:rPr>
        <w:t>政策含义是，杭州分行应把AI企业营销从单户授信扩展到“园区+中试基地+核心企业+场景方”的生态经营。企业进入中试基地、获得算力券或场景开放，并不等同于稳定现金流，但代表其更容易获得订单验证、政府资源和产业链协同，适合先用账户、结算、票据、轻资本融资和供应链方案建立关系。</w:t>
      </w:r>
    </w:p>
    <w:p>
      <w:pPr>
        <w:pStyle w:val="Heading2"/>
      </w:pPr>
      <w:r>
        <w:rPr>
          <w:rFonts w:ascii="华文楷体" w:hAnsi="华文楷体" w:eastAsia="华文楷体"/>
          <w:sz w:val="22"/>
        </w:rPr>
        <w:t>2. 浙江重点产业与区域机会</w:t>
      </w:r>
    </w:p>
    <w:p>
      <w:pPr/>
      <w:r>
        <w:rPr>
          <w:rFonts w:ascii="华文楷体" w:hAnsi="华文楷体" w:eastAsia="华文楷体"/>
          <w:sz w:val="22"/>
        </w:rPr>
        <w:t>杭州高新区（滨江）是本周浙江AI产业机会最集中的区域。当地具身智能机器人产业集群已入选国家级中小企业特色产业集群，集聚海康机器人、华睿科技、景业智能等重点企业超100家；杭州全市具身智能机器人与其他智能终端制造业集群已集聚700余家企业，去年集群规上工业产值突破千亿元。</w:t>
      </w:r>
    </w:p>
    <w:p>
      <w:pPr/>
      <w:r>
        <w:rPr>
          <w:rFonts w:ascii="华文楷体" w:hAnsi="华文楷体" w:eastAsia="华文楷体"/>
          <w:sz w:val="22"/>
        </w:rPr>
        <w:t>中试基地定位为公共技术服务平台，重点提供算力保障、数据开放、模型服务和场景验证，并与首批18家入驻企业签约，包括引望智能、星衍智能、星海图科技等。对银行而言，滨江、余杭、萧山、钱塘等区域可形成三类扫客清单：机器人本体与零部件企业、AI软件与工业智能服务企业、为算力和零碳园区提供电力数字化的企业。</w:t>
      </w:r>
    </w:p>
    <w:p>
      <w:pPr>
        <w:pStyle w:val="Heading2"/>
      </w:pPr>
      <w:r>
        <w:rPr>
          <w:rFonts w:ascii="华文楷体" w:hAnsi="华文楷体" w:eastAsia="华文楷体"/>
          <w:sz w:val="22"/>
        </w:rPr>
        <w:t>3. 浙江上下游产业链动态</w:t>
      </w:r>
    </w:p>
    <w:p>
      <w:pPr/>
      <w:r>
        <w:rPr>
          <w:rFonts w:ascii="华文楷体" w:hAnsi="华文楷体" w:eastAsia="华文楷体"/>
          <w:sz w:val="22"/>
        </w:rPr>
        <w:t>浙江AI产业链上游包括算力基础设施、传感器、执行器、控制系统、光学视觉、电力数字化和数据服务；中游包括机器人本体、工业视觉、AI设计软件、行业模型和智能体平台；下游集中在智能制造、文旅导览、公共安全、电力巡检、建筑家居、养老康养和园区能源。</w:t>
      </w:r>
    </w:p>
    <w:p>
      <w:pPr/>
      <w:r>
        <w:rPr>
          <w:rFonts w:ascii="华文楷体" w:hAnsi="华文楷体" w:eastAsia="华文楷体"/>
          <w:sz w:val="22"/>
        </w:rPr>
        <w:t>本周杭州中试基地把“找资金、找场景、找伙伴、找人才”聚合到一个平台，能够降低中小AI企业中试成本。拓深科技完成数亿元融资，说明AI与电力数字化、零碳园区、算力供电协同已经成为浙江AI产业链的新金融入口。云深处、宇树、强脑、群核等杭州企业则有望带动零部件、算法、外贸、经销和应用场景服务商形成批量获客机会。</w:t>
      </w:r>
    </w:p>
    <w:p>
      <w:pPr>
        <w:pStyle w:val="Heading2"/>
      </w:pPr>
      <w:r>
        <w:rPr>
          <w:rFonts w:ascii="华文楷体" w:hAnsi="华文楷体" w:eastAsia="华文楷体"/>
          <w:sz w:val="22"/>
        </w:rPr>
        <w:t>4. 银行展业机会</w:t>
      </w:r>
    </w:p>
    <w:p>
      <w:pPr/>
      <w:r>
        <w:rPr>
          <w:rFonts w:ascii="华文楷体" w:hAnsi="华文楷体" w:eastAsia="华文楷体"/>
          <w:sz w:val="22"/>
        </w:rPr>
        <w:t>第一，围绕滨江国家具身智能中试基地，建立入驻企业和共建企业名单，优先切入账户、代发、数字财资、算力采购融资和设备融资。</w:t>
      </w:r>
    </w:p>
    <w:p>
      <w:pPr/>
      <w:r>
        <w:rPr>
          <w:rFonts w:ascii="华文楷体" w:hAnsi="华文楷体" w:eastAsia="华文楷体"/>
          <w:sz w:val="22"/>
        </w:rPr>
        <w:t>第二，围绕机器人本体及零部件企业，关注订单增长后的备货、应收账款和供应商账期，配置订单融资、付融通、商票保贴和银票贴现。</w:t>
      </w:r>
    </w:p>
    <w:p>
      <w:pPr/>
      <w:r>
        <w:rPr>
          <w:rFonts w:ascii="华文楷体" w:hAnsi="华文楷体" w:eastAsia="华文楷体"/>
          <w:sz w:val="22"/>
        </w:rPr>
        <w:t>第三，围绕AI算力与电力数字化企业，关注零碳园区、数据中心、分布式能源调度项目，匹配科技创新和技术更新改造再贷款、项目融资、平安租赁和现金管理。</w:t>
      </w:r>
    </w:p>
    <w:p>
      <w:pPr/>
      <w:r>
        <w:rPr>
          <w:rFonts w:ascii="华文楷体" w:hAnsi="华文楷体" w:eastAsia="华文楷体"/>
          <w:sz w:val="22"/>
        </w:rPr>
        <w:t>第四，围绕出海型机器人和AI硬件企业，提前布局跨境支付结算、外币存款、跨境资金管理、人民币国际证+福费廷和平安避险。</w:t>
      </w:r>
    </w:p>
    <w:p>
      <w:pPr>
        <w:pStyle w:val="Heading1"/>
      </w:pPr>
      <w:r>
        <w:rPr>
          <w:rFonts w:ascii="华文楷体" w:hAnsi="华文楷体" w:eastAsia="华文楷体"/>
          <w:sz w:val="22"/>
        </w:rPr>
        <w:t>三、重点企业推荐</w:t>
      </w:r>
    </w:p>
    <w:p>
      <w:pPr>
        <w:pStyle w:val="Heading2"/>
      </w:pPr>
      <w:r>
        <w:rPr>
          <w:rFonts w:ascii="华文楷体" w:hAnsi="华文楷体" w:eastAsia="华文楷体"/>
          <w:sz w:val="22"/>
        </w:rPr>
        <w:t>企业名称：杭州宇树科技有限公司</w:t>
      </w:r>
    </w:p>
    <w:p>
      <w:pPr/>
      <w:r>
        <w:rPr>
          <w:rFonts w:ascii="华文楷体" w:hAnsi="华文楷体" w:eastAsia="华文楷体"/>
          <w:sz w:val="22"/>
        </w:rPr>
        <w:t>推荐等级： 高</w:t>
      </w:r>
    </w:p>
    <w:p>
      <w:pPr/>
      <w:r>
        <w:rPr>
          <w:rFonts w:ascii="华文楷体" w:hAnsi="华文楷体" w:eastAsia="华文楷体"/>
          <w:sz w:val="22"/>
        </w:rPr>
        <w:t>所属行业： 具身智能机器人</w:t>
      </w:r>
    </w:p>
    <w:p>
      <w:pPr/>
      <w:r>
        <w:rPr>
          <w:rFonts w:ascii="华文楷体" w:hAnsi="华文楷体" w:eastAsia="华文楷体"/>
          <w:sz w:val="22"/>
        </w:rPr>
        <w:t>所在地区： 杭州</w:t>
      </w:r>
    </w:p>
    <w:p>
      <w:pPr/>
      <w:r>
        <w:rPr>
          <w:rFonts w:ascii="华文楷体" w:hAnsi="华文楷体" w:eastAsia="华文楷体"/>
          <w:sz w:val="22"/>
        </w:rPr>
        <w:t>产业链位置： 中游/整机制造</w:t>
      </w:r>
    </w:p>
    <w:p>
      <w:pPr/>
      <w:r>
        <w:rPr>
          <w:rFonts w:ascii="华文楷体" w:hAnsi="华文楷体" w:eastAsia="华文楷体"/>
          <w:sz w:val="22"/>
        </w:rPr>
        <w:t>推荐方向： 流动资金、供应链金融、跨境结算、票据、现金管理、代发、综合金融</w:t>
      </w:r>
    </w:p>
    <w:p>
      <w:pPr/>
      <w:r>
        <w:rPr>
          <w:rFonts w:ascii="华文楷体" w:hAnsi="华文楷体" w:eastAsia="华文楷体"/>
          <w:sz w:val="22"/>
        </w:rPr>
        <w:t>*企业关键信息：</w:t>
      </w:r>
    </w:p>
    <w:p>
      <w:pPr/>
      <w:r>
        <w:rPr>
          <w:rFonts w:ascii="华文楷体" w:hAnsi="华文楷体" w:eastAsia="华文楷体"/>
          <w:sz w:val="22"/>
        </w:rPr>
        <w:t>基本情况： 宇树科技专注四足机器人、人形机器人及具身智能硬件，位于杭州，是杭州具身智能代表企业。近期发布全球首款可量产交付载人变形机甲，并作为国家人工智能应用中试基地（具身智能）共建合伙人参与生态建设。</w:t>
      </w:r>
    </w:p>
    <w:p>
      <w:pPr/>
      <w:r>
        <w:rPr>
          <w:rFonts w:ascii="华文楷体" w:hAnsi="华文楷体" w:eastAsia="华文楷体"/>
          <w:sz w:val="22"/>
        </w:rPr>
        <w:t>高层与团队背景： 创始人、CEO兼CTO王兴兴，公开资料显示本科就读浙江理工大学机电专业，后在上海大学攻读机械工程研究生，长期从事四足机器人研发。导师信息未披露。</w:t>
      </w:r>
    </w:p>
    <w:p>
      <w:pPr/>
      <w:r>
        <w:rPr>
          <w:rFonts w:ascii="华文楷体" w:hAnsi="华文楷体" w:eastAsia="华文楷体"/>
          <w:sz w:val="22"/>
        </w:rPr>
        <w:t>银行关注点： 创始人技术背景强、产品全球知名度高，企业正从技术展示进入量产与场景应用阶段，决策链条可能以技术和交付能力为核心。</w:t>
      </w:r>
    </w:p>
    <w:p>
      <w:pPr/>
      <w:r>
        <w:rPr>
          <w:rFonts w:ascii="华文楷体" w:hAnsi="华文楷体" w:eastAsia="华文楷体"/>
          <w:sz w:val="22"/>
        </w:rPr>
        <w:t>*推荐理由：</w:t>
      </w:r>
    </w:p>
    <w:p>
      <w:pPr/>
      <w:r>
        <w:rPr>
          <w:rFonts w:ascii="华文楷体" w:hAnsi="华文楷体" w:eastAsia="华文楷体"/>
          <w:sz w:val="22"/>
        </w:rPr>
        <w:t>杭州具身智能中试基地揭牌后，宇树作为共建合伙人具备场景、政策、生态资源优势。</w:t>
      </w:r>
    </w:p>
    <w:p>
      <w:pPr/>
      <w:r>
        <w:rPr>
          <w:rFonts w:ascii="华文楷体" w:hAnsi="华文楷体" w:eastAsia="华文楷体"/>
          <w:sz w:val="22"/>
        </w:rPr>
        <w:t>公司产品具备品牌影响力和量产交付预期，可能带动零部件采购、库存备货、售后服务和海外销售需求。</w:t>
      </w:r>
    </w:p>
    <w:p>
      <w:pPr/>
      <w:r>
        <w:rPr>
          <w:rFonts w:ascii="华文楷体" w:hAnsi="华文楷体" w:eastAsia="华文楷体"/>
          <w:sz w:val="22"/>
        </w:rPr>
        <w:t>杭州机器人集群已形成千亿级规上产值，宇树具备链主带动效应，适合从核心企业向上下游批量获客。</w:t>
      </w:r>
    </w:p>
    <w:p>
      <w:pPr/>
      <w:r>
        <w:rPr>
          <w:rFonts w:ascii="华文楷体" w:hAnsi="华文楷体" w:eastAsia="华文楷体"/>
          <w:sz w:val="22"/>
        </w:rPr>
        <w:t>*银行展业机会：</w:t>
      </w:r>
    </w:p>
    <w:p>
      <w:pPr/>
      <w:r>
        <w:rPr>
          <w:rFonts w:ascii="华文楷体" w:hAnsi="华文楷体" w:eastAsia="华文楷体"/>
          <w:sz w:val="22"/>
        </w:rPr>
        <w:t>机器人量产和新品交付会带来核心零部件采购、库存和供应商账期需求，可切入流动资金贷款、订单融资和票据贴现。</w:t>
      </w:r>
    </w:p>
    <w:p>
      <w:pPr/>
      <w:r>
        <w:rPr>
          <w:rFonts w:ascii="华文楷体" w:hAnsi="华文楷体" w:eastAsia="华文楷体"/>
          <w:sz w:val="22"/>
        </w:rPr>
        <w:t>若海外订单增长，可切入跨境支付结算、外币存款、跨境资金管理和平安避险。</w:t>
      </w:r>
    </w:p>
    <w:p>
      <w:pPr/>
      <w:r>
        <w:rPr>
          <w:rFonts w:ascii="华文楷体" w:hAnsi="华文楷体" w:eastAsia="华文楷体"/>
          <w:sz w:val="22"/>
        </w:rPr>
        <w:t>若企业建设展示、测试和售后网络，可配置数字财资、资产池和代发服务。</w:t>
      </w:r>
    </w:p>
    <w:p>
      <w:pPr/>
      <w:r>
        <w:rPr>
          <w:rFonts w:ascii="华文楷体" w:hAnsi="华文楷体" w:eastAsia="华文楷体"/>
          <w:sz w:val="22"/>
        </w:rPr>
        <w:t>*推荐产品组合：</w:t>
      </w:r>
    </w:p>
    <w:p>
      <w:pPr/>
      <w:r>
        <w:rPr>
          <w:rFonts w:ascii="华文楷体" w:hAnsi="华文楷体" w:eastAsia="华文楷体"/>
          <w:sz w:val="22"/>
        </w:rPr>
        <w:t>建议以普惠金融科创贷或科技创新和技术更新改造再贷款切入，解决研发、量产和设备更新资金需求；配套订单融资、银票极速贴现、付融通和数字财资，用于供应商付款、订单交付和多账户资金管理。额度、期限、费率待沟通。</w:t>
      </w:r>
    </w:p>
    <w:p>
      <w:pPr/>
      <w:r>
        <w:rPr>
          <w:rFonts w:ascii="华文楷体" w:hAnsi="华文楷体" w:eastAsia="华文楷体"/>
          <w:sz w:val="22"/>
        </w:rPr>
        <w:t>*客户经理切入话术：</w:t>
      </w:r>
    </w:p>
    <w:p>
      <w:pPr/>
      <w:r>
        <w:rPr>
          <w:rFonts w:ascii="华文楷体" w:hAnsi="华文楷体" w:eastAsia="华文楷体"/>
          <w:sz w:val="22"/>
        </w:rPr>
        <w:t>“近期杭州中试基地落地后，机器人企业从研发验证进入批量交付阶段。我们想先了解贵司今年订单、零部件采购和海外收款安排，看能否把供应链付款、票据贴现和跨境结算先做成一套轻量方案。”</w:t>
      </w:r>
    </w:p>
    <w:p>
      <w:pPr/>
      <w:r>
        <w:rPr>
          <w:rFonts w:ascii="华文楷体" w:hAnsi="华文楷体" w:eastAsia="华文楷体"/>
          <w:sz w:val="22"/>
        </w:rPr>
        <w:t>*风险提示：</w:t>
      </w:r>
    </w:p>
    <w:p>
      <w:pPr/>
      <w:r>
        <w:rPr>
          <w:rFonts w:ascii="华文楷体" w:hAnsi="华文楷体" w:eastAsia="华文楷体"/>
          <w:sz w:val="22"/>
        </w:rPr>
        <w:t>机器人量产节奏、硬件库存、售后成本和海外合规仍需核实；需结合征信、流水、财报、订单合同、供应商结构和实地尽调确认。</w:t>
      </w:r>
    </w:p>
    <w:p>
      <w:pPr>
        <w:pStyle w:val="Heading2"/>
      </w:pPr>
      <w:r>
        <w:rPr>
          <w:rFonts w:ascii="华文楷体" w:hAnsi="华文楷体" w:eastAsia="华文楷体"/>
          <w:sz w:val="22"/>
        </w:rPr>
        <w:t>企业名称：强脑科技</w:t>
      </w:r>
    </w:p>
    <w:p>
      <w:pPr/>
      <w:r>
        <w:rPr>
          <w:rFonts w:ascii="华文楷体" w:hAnsi="华文楷体" w:eastAsia="华文楷体"/>
          <w:sz w:val="22"/>
        </w:rPr>
        <w:t>推荐等级： 高</w:t>
      </w:r>
    </w:p>
    <w:p>
      <w:pPr/>
      <w:r>
        <w:rPr>
          <w:rFonts w:ascii="华文楷体" w:hAnsi="华文楷体" w:eastAsia="华文楷体"/>
          <w:sz w:val="22"/>
        </w:rPr>
        <w:t>所属行业： 脑机接口/智能康复/具身智能零部件</w:t>
      </w:r>
    </w:p>
    <w:p>
      <w:pPr/>
      <w:r>
        <w:rPr>
          <w:rFonts w:ascii="华文楷体" w:hAnsi="华文楷体" w:eastAsia="华文楷体"/>
          <w:sz w:val="22"/>
        </w:rPr>
        <w:t>所在地区： 杭州</w:t>
      </w:r>
    </w:p>
    <w:p>
      <w:pPr/>
      <w:r>
        <w:rPr>
          <w:rFonts w:ascii="华文楷体" w:hAnsi="华文楷体" w:eastAsia="华文楷体"/>
          <w:sz w:val="22"/>
        </w:rPr>
        <w:t>产业链位置： 上游/核心传感与智能硬件</w:t>
      </w:r>
    </w:p>
    <w:p>
      <w:pPr/>
      <w:r>
        <w:rPr>
          <w:rFonts w:ascii="华文楷体" w:hAnsi="华文楷体" w:eastAsia="华文楷体"/>
          <w:sz w:val="22"/>
        </w:rPr>
        <w:t>推荐方向： 流动资金、设备融资、跨境结算、现金管理、代发、综合金融</w:t>
      </w:r>
    </w:p>
    <w:p>
      <w:pPr/>
      <w:r>
        <w:rPr>
          <w:rFonts w:ascii="华文楷体" w:hAnsi="华文楷体" w:eastAsia="华文楷体"/>
          <w:sz w:val="22"/>
        </w:rPr>
        <w:t>*企业关键信息：</w:t>
      </w:r>
    </w:p>
    <w:p>
      <w:pPr/>
      <w:r>
        <w:rPr>
          <w:rFonts w:ascii="华文楷体" w:hAnsi="华文楷体" w:eastAsia="华文楷体"/>
          <w:sz w:val="22"/>
        </w:rPr>
        <w:t>基本情况： 强脑科技BrainCo长期专注非侵入式脑机接口、智能义肢和神经信号传感器，2018年核心技术与研发团队落地杭州。近期强脑科技Revo3灵巧手在杭州具身智能活动中作为新品发布，适配机器人灵巧操作和康复场景。</w:t>
      </w:r>
    </w:p>
    <w:p>
      <w:pPr/>
      <w:r>
        <w:rPr>
          <w:rFonts w:ascii="华文楷体" w:hAnsi="华文楷体" w:eastAsia="华文楷体"/>
          <w:sz w:val="22"/>
        </w:rPr>
        <w:t>高层与团队背景： 创始人韩璧丞公开资料显示2014年进入哈佛大学脑科学中心攻读博士项目，研究脑科学、神经可塑性、医疗器械开发和微流体系统等方向；2015年在哈佛创新实验室创立BrainCo，团队多为博士和科研背景人才。</w:t>
      </w:r>
    </w:p>
    <w:p>
      <w:pPr/>
      <w:r>
        <w:rPr>
          <w:rFonts w:ascii="华文楷体" w:hAnsi="华文楷体" w:eastAsia="华文楷体"/>
          <w:sz w:val="22"/>
        </w:rPr>
        <w:t>银行关注点： 团队科研与国际化背景突出，技术壁垒较高，但医疗康复、机器人零部件和消费硬件的商业路径差异较大，需关注收入结构。</w:t>
      </w:r>
    </w:p>
    <w:p>
      <w:pPr/>
      <w:r>
        <w:rPr>
          <w:rFonts w:ascii="华文楷体" w:hAnsi="华文楷体" w:eastAsia="华文楷体"/>
          <w:sz w:val="22"/>
        </w:rPr>
        <w:t>*推荐理由：</w:t>
      </w:r>
    </w:p>
    <w:p>
      <w:pPr/>
      <w:r>
        <w:rPr>
          <w:rFonts w:ascii="华文楷体" w:hAnsi="华文楷体" w:eastAsia="华文楷体"/>
          <w:sz w:val="22"/>
        </w:rPr>
        <w:t>脑机接口、灵巧手和神经传感器属于具身智能关键上游，契合国家未来产业和杭州中试基地生态。</w:t>
      </w:r>
    </w:p>
    <w:p>
      <w:pPr/>
      <w:r>
        <w:rPr>
          <w:rFonts w:ascii="华文楷体" w:hAnsi="华文楷体" w:eastAsia="华文楷体"/>
          <w:sz w:val="22"/>
        </w:rPr>
        <w:t>公司技术具备医疗康复和机器人操作双场景，可与医院、康复机构、机器人整机企业形成订单协同。</w:t>
      </w:r>
    </w:p>
    <w:p>
      <w:pPr/>
      <w:r>
        <w:rPr>
          <w:rFonts w:ascii="华文楷体" w:hAnsi="华文楷体" w:eastAsia="华文楷体"/>
          <w:sz w:val="22"/>
        </w:rPr>
        <w:t>高研发投入和硬件交付可能带来设备采购、备货、应收账款和人才代发需求。</w:t>
      </w:r>
    </w:p>
    <w:p>
      <w:pPr/>
      <w:r>
        <w:rPr>
          <w:rFonts w:ascii="华文楷体" w:hAnsi="华文楷体" w:eastAsia="华文楷体"/>
          <w:sz w:val="22"/>
        </w:rPr>
        <w:t>*银行展业机会：</w:t>
      </w:r>
    </w:p>
    <w:p>
      <w:pPr/>
      <w:r>
        <w:rPr>
          <w:rFonts w:ascii="华文楷体" w:hAnsi="华文楷体" w:eastAsia="华文楷体"/>
          <w:sz w:val="22"/>
        </w:rPr>
        <w:t>硬件研发和生产会产生流动资金与设备融资需求，可配置科创贷、技术更新改造再贷款和平安租赁。</w:t>
      </w:r>
    </w:p>
    <w:p>
      <w:pPr/>
      <w:r>
        <w:rPr>
          <w:rFonts w:ascii="华文楷体" w:hAnsi="华文楷体" w:eastAsia="华文楷体"/>
          <w:sz w:val="22"/>
        </w:rPr>
        <w:t>医疗康复、教育和机器人客户若账期较长，可切入保理、付融通和商票贴现。</w:t>
      </w:r>
    </w:p>
    <w:p>
      <w:pPr/>
      <w:r>
        <w:rPr>
          <w:rFonts w:ascii="华文楷体" w:hAnsi="华文楷体" w:eastAsia="华文楷体"/>
          <w:sz w:val="22"/>
        </w:rPr>
        <w:t>国际合作和海外销售场景可切入跨境支付结算、外币存款和平安避险。</w:t>
      </w:r>
    </w:p>
    <w:p>
      <w:pPr/>
      <w:r>
        <w:rPr>
          <w:rFonts w:ascii="华文楷体" w:hAnsi="华文楷体" w:eastAsia="华文楷体"/>
          <w:sz w:val="22"/>
        </w:rPr>
        <w:t>*推荐产品组合：</w:t>
      </w:r>
    </w:p>
    <w:p>
      <w:pPr/>
      <w:r>
        <w:rPr>
          <w:rFonts w:ascii="华文楷体" w:hAnsi="华文楷体" w:eastAsia="华文楷体"/>
          <w:sz w:val="22"/>
        </w:rPr>
        <w:t>建议以普惠金融科创贷为主推产品，支持研发和订单周转；配套平安租赁、付融通、跨境支付结算和数字财资，覆盖设备采购、应收账款和境内外资金管理。额度、期限、费率待沟通。</w:t>
      </w:r>
    </w:p>
    <w:p>
      <w:pPr/>
      <w:r>
        <w:rPr>
          <w:rFonts w:ascii="华文楷体" w:hAnsi="华文楷体" w:eastAsia="华文楷体"/>
          <w:sz w:val="22"/>
        </w:rPr>
        <w:t>*客户经理切入话术：</w:t>
      </w:r>
    </w:p>
    <w:p>
      <w:pPr/>
      <w:r>
        <w:rPr>
          <w:rFonts w:ascii="华文楷体" w:hAnsi="华文楷体" w:eastAsia="华文楷体"/>
          <w:sz w:val="22"/>
        </w:rPr>
        <w:t>“贵司的脑机接口和灵巧手已经进入机器人和康复两个高景气场景。我们想从订单账期、设备投入和跨境收付款三个方面梳理资金安排，看看能否先提供科创授信和应收账款工具。”</w:t>
      </w:r>
    </w:p>
    <w:p>
      <w:pPr/>
      <w:r>
        <w:rPr>
          <w:rFonts w:ascii="华文楷体" w:hAnsi="华文楷体" w:eastAsia="华文楷体"/>
          <w:sz w:val="22"/>
        </w:rPr>
        <w:t>*风险提示：</w:t>
      </w:r>
    </w:p>
    <w:p>
      <w:pPr/>
      <w:r>
        <w:rPr>
          <w:rFonts w:ascii="华文楷体" w:hAnsi="华文楷体" w:eastAsia="华文楷体"/>
          <w:sz w:val="22"/>
        </w:rPr>
        <w:t>脑机接口涉及医疗合规、产品认证和市场教育周期，收入兑现节奏需核实；需结合订单、资质、回款、研发投入和客户集中度尽调。</w:t>
      </w:r>
    </w:p>
    <w:p>
      <w:pPr>
        <w:pStyle w:val="Heading2"/>
      </w:pPr>
      <w:r>
        <w:rPr>
          <w:rFonts w:ascii="华文楷体" w:hAnsi="华文楷体" w:eastAsia="华文楷体"/>
          <w:sz w:val="22"/>
        </w:rPr>
        <w:t>企业名称：杭州云深处科技有限公司</w:t>
      </w:r>
    </w:p>
    <w:p>
      <w:pPr/>
      <w:r>
        <w:rPr>
          <w:rFonts w:ascii="华文楷体" w:hAnsi="华文楷体" w:eastAsia="华文楷体"/>
          <w:sz w:val="22"/>
        </w:rPr>
        <w:t>推荐等级： 高</w:t>
      </w:r>
    </w:p>
    <w:p>
      <w:pPr/>
      <w:r>
        <w:rPr>
          <w:rFonts w:ascii="华文楷体" w:hAnsi="华文楷体" w:eastAsia="华文楷体"/>
          <w:sz w:val="22"/>
        </w:rPr>
        <w:t>所属行业： 四足机器人/工业巡检机器人</w:t>
      </w:r>
    </w:p>
    <w:p>
      <w:pPr/>
      <w:r>
        <w:rPr>
          <w:rFonts w:ascii="华文楷体" w:hAnsi="华文楷体" w:eastAsia="华文楷体"/>
          <w:sz w:val="22"/>
        </w:rPr>
        <w:t>所在地区： 杭州</w:t>
      </w:r>
    </w:p>
    <w:p>
      <w:pPr/>
      <w:r>
        <w:rPr>
          <w:rFonts w:ascii="华文楷体" w:hAnsi="华文楷体" w:eastAsia="华文楷体"/>
          <w:sz w:val="22"/>
        </w:rPr>
        <w:t>产业链位置： 中游/整机制造与行业应用</w:t>
      </w:r>
    </w:p>
    <w:p>
      <w:pPr/>
      <w:r>
        <w:rPr>
          <w:rFonts w:ascii="华文楷体" w:hAnsi="华文楷体" w:eastAsia="华文楷体"/>
          <w:sz w:val="22"/>
        </w:rPr>
        <w:t>推荐方向： 流动资金、供应链金融、票据、现金管理、代发</w:t>
      </w:r>
    </w:p>
    <w:p>
      <w:pPr/>
      <w:r>
        <w:rPr>
          <w:rFonts w:ascii="华文楷体" w:hAnsi="华文楷体" w:eastAsia="华文楷体"/>
          <w:sz w:val="22"/>
        </w:rPr>
        <w:t>*企业关键信息：</w:t>
      </w:r>
    </w:p>
    <w:p>
      <w:pPr/>
      <w:r>
        <w:rPr>
          <w:rFonts w:ascii="华文楷体" w:hAnsi="华文楷体" w:eastAsia="华文楷体"/>
          <w:sz w:val="22"/>
        </w:rPr>
        <w:t>基本情况： 云深处科技Deep Robotics专注四足机器人和行业应用，产品面向巡检、安防、应急、工业等场景，是杭州机器人产业链重要企业。</w:t>
      </w:r>
    </w:p>
    <w:p>
      <w:pPr/>
      <w:r>
        <w:rPr>
          <w:rFonts w:ascii="华文楷体" w:hAnsi="华文楷体" w:eastAsia="华文楷体"/>
          <w:sz w:val="22"/>
        </w:rPr>
        <w:t>高层与团队背景： 创始人兼CEO朱秋国，公开资料显示为浙江大学控制科学与工程学院教授、博士生导师，浙江海宁人，长期从事仿人机器人、仿生机器人和机器智能研究；部分资料显示其在浙江大学完成本博阶段学习，师从信息待核实。</w:t>
      </w:r>
    </w:p>
    <w:p>
      <w:pPr/>
      <w:r>
        <w:rPr>
          <w:rFonts w:ascii="华文楷体" w:hAnsi="华文楷体" w:eastAsia="华文楷体"/>
          <w:sz w:val="22"/>
        </w:rPr>
        <w:t>银行关注点： 学者型企业家背景利于技术突破和科研资源连接，企业业务更依赖场景订单和交付稳定性。</w:t>
      </w:r>
    </w:p>
    <w:p>
      <w:pPr/>
      <w:r>
        <w:rPr>
          <w:rFonts w:ascii="华文楷体" w:hAnsi="华文楷体" w:eastAsia="华文楷体"/>
          <w:sz w:val="22"/>
        </w:rPr>
        <w:t>*推荐理由：</w:t>
      </w:r>
    </w:p>
    <w:p>
      <w:pPr/>
      <w:r>
        <w:rPr>
          <w:rFonts w:ascii="华文楷体" w:hAnsi="华文楷体" w:eastAsia="华文楷体"/>
          <w:sz w:val="22"/>
        </w:rPr>
        <w:t>杭州中试基地强调应急、安防、工程、农业等机器人场景，云深处的四足机器人与场景验证高度匹配。</w:t>
      </w:r>
    </w:p>
    <w:p>
      <w:pPr/>
      <w:r>
        <w:rPr>
          <w:rFonts w:ascii="华文楷体" w:hAnsi="华文楷体" w:eastAsia="华文楷体"/>
          <w:sz w:val="22"/>
        </w:rPr>
        <w:t>公司具备技术与高校资源背景，适合争取政府、能源、电力、园区和工业客户项目。</w:t>
      </w:r>
    </w:p>
    <w:p>
      <w:pPr/>
      <w:r>
        <w:rPr>
          <w:rFonts w:ascii="华文楷体" w:hAnsi="华文楷体" w:eastAsia="华文楷体"/>
          <w:sz w:val="22"/>
        </w:rPr>
        <w:t>行业应用订单通常伴随硬件备货、项目实施和应收账款周期，是银行介入供应链和票据业务的典型场景。</w:t>
      </w:r>
    </w:p>
    <w:p>
      <w:pPr/>
      <w:r>
        <w:rPr>
          <w:rFonts w:ascii="华文楷体" w:hAnsi="华文楷体" w:eastAsia="华文楷体"/>
          <w:sz w:val="22"/>
        </w:rPr>
        <w:t>*银行展业机会：</w:t>
      </w:r>
    </w:p>
    <w:p>
      <w:pPr/>
      <w:r>
        <w:rPr>
          <w:rFonts w:ascii="华文楷体" w:hAnsi="华文楷体" w:eastAsia="华文楷体"/>
          <w:sz w:val="22"/>
        </w:rPr>
        <w:t>面向电力巡检、园区安防和应急场景的项目交付，可产生备货和项目垫资需求。</w:t>
      </w:r>
    </w:p>
    <w:p>
      <w:pPr/>
      <w:r>
        <w:rPr>
          <w:rFonts w:ascii="华文楷体" w:hAnsi="华文楷体" w:eastAsia="华文楷体"/>
          <w:sz w:val="22"/>
        </w:rPr>
        <w:t>对上游零部件供应商可通过核心企业关系切入订单融资、付融通、商票保贴和银票贴现。</w:t>
      </w:r>
    </w:p>
    <w:p>
      <w:pPr/>
      <w:r>
        <w:rPr>
          <w:rFonts w:ascii="华文楷体" w:hAnsi="华文楷体" w:eastAsia="华文楷体"/>
          <w:sz w:val="22"/>
        </w:rPr>
        <w:t>对企业内部可叠加数字财资、资产池和代发，提升账户黏性。</w:t>
      </w:r>
    </w:p>
    <w:p>
      <w:pPr/>
      <w:r>
        <w:rPr>
          <w:rFonts w:ascii="华文楷体" w:hAnsi="华文楷体" w:eastAsia="华文楷体"/>
          <w:sz w:val="22"/>
        </w:rPr>
        <w:t>*推荐产品组合：</w:t>
      </w:r>
    </w:p>
    <w:p>
      <w:pPr/>
      <w:r>
        <w:rPr>
          <w:rFonts w:ascii="华文楷体" w:hAnsi="华文楷体" w:eastAsia="华文楷体"/>
          <w:sz w:val="22"/>
        </w:rPr>
        <w:t>建议以订单融资和银票极速贴现切入，解决项目交付和供应商付款；配套普惠金融科创贷、付融通和数字财资，用于研发周转、应收账款融资和账户统筹。额度、期限、费率待沟通。</w:t>
      </w:r>
    </w:p>
    <w:p>
      <w:pPr/>
      <w:r>
        <w:rPr>
          <w:rFonts w:ascii="华文楷体" w:hAnsi="华文楷体" w:eastAsia="华文楷体"/>
          <w:sz w:val="22"/>
        </w:rPr>
        <w:t>*客户经理切入话术：</w:t>
      </w:r>
    </w:p>
    <w:p>
      <w:pPr/>
      <w:r>
        <w:rPr>
          <w:rFonts w:ascii="华文楷体" w:hAnsi="华文楷体" w:eastAsia="华文楷体"/>
          <w:sz w:val="22"/>
        </w:rPr>
        <w:t>“中试基地开放后，巡检、应急和园区场景会更快释放。我们希望了解贵司今年项目合同、回款周期和上游供应商付款方式，先设计一套订单和票据组合方案。”</w:t>
      </w:r>
    </w:p>
    <w:p>
      <w:pPr/>
      <w:r>
        <w:rPr>
          <w:rFonts w:ascii="华文楷体" w:hAnsi="华文楷体" w:eastAsia="华文楷体"/>
          <w:sz w:val="22"/>
        </w:rPr>
        <w:t>*风险提示：</w:t>
      </w:r>
    </w:p>
    <w:p>
      <w:pPr/>
      <w:r>
        <w:rPr>
          <w:rFonts w:ascii="华文楷体" w:hAnsi="华文楷体" w:eastAsia="华文楷体"/>
          <w:sz w:val="22"/>
        </w:rPr>
        <w:t>行业应用项目可能存在验收周期长、客户集中、售后维护成本和政府项目回款周期风险，需结合合同、验收节点和现金流尽调。</w:t>
      </w:r>
    </w:p>
    <w:p>
      <w:pPr>
        <w:pStyle w:val="Heading2"/>
      </w:pPr>
      <w:r>
        <w:rPr>
          <w:rFonts w:ascii="华文楷体" w:hAnsi="华文楷体" w:eastAsia="华文楷体"/>
          <w:sz w:val="22"/>
        </w:rPr>
        <w:t>企业名称：杭州拓深科技有限公司</w:t>
      </w:r>
    </w:p>
    <w:p>
      <w:pPr/>
      <w:r>
        <w:rPr>
          <w:rFonts w:ascii="华文楷体" w:hAnsi="华文楷体" w:eastAsia="华文楷体"/>
          <w:sz w:val="22"/>
        </w:rPr>
        <w:t>推荐等级： 高</w:t>
      </w:r>
    </w:p>
    <w:p>
      <w:pPr/>
      <w:r>
        <w:rPr>
          <w:rFonts w:ascii="华文楷体" w:hAnsi="华文楷体" w:eastAsia="华文楷体"/>
          <w:sz w:val="22"/>
        </w:rPr>
        <w:t>所属行业： AI电力数字化/零碳园区/能源管理</w:t>
      </w:r>
    </w:p>
    <w:p>
      <w:pPr/>
      <w:r>
        <w:rPr>
          <w:rFonts w:ascii="华文楷体" w:hAnsi="华文楷体" w:eastAsia="华文楷体"/>
          <w:sz w:val="22"/>
        </w:rPr>
        <w:t>所在地区： 杭州</w:t>
      </w:r>
    </w:p>
    <w:p>
      <w:pPr/>
      <w:r>
        <w:rPr>
          <w:rFonts w:ascii="华文楷体" w:hAnsi="华文楷体" w:eastAsia="华文楷体"/>
          <w:sz w:val="22"/>
        </w:rPr>
        <w:t>产业链位置： 服务商/平台型</w:t>
      </w:r>
    </w:p>
    <w:p>
      <w:pPr/>
      <w:r>
        <w:rPr>
          <w:rFonts w:ascii="华文楷体" w:hAnsi="华文楷体" w:eastAsia="华文楷体"/>
          <w:sz w:val="22"/>
        </w:rPr>
        <w:t>推荐方向： 流动资金、项目融资、现金管理、供应链金融、综合金融</w:t>
      </w:r>
    </w:p>
    <w:p>
      <w:pPr/>
      <w:r>
        <w:rPr>
          <w:rFonts w:ascii="华文楷体" w:hAnsi="华文楷体" w:eastAsia="华文楷体"/>
          <w:sz w:val="22"/>
        </w:rPr>
        <w:t>*企业关键信息：</w:t>
      </w:r>
    </w:p>
    <w:p>
      <w:pPr/>
      <w:r>
        <w:rPr>
          <w:rFonts w:ascii="华文楷体" w:hAnsi="华文楷体" w:eastAsia="华文楷体"/>
          <w:sz w:val="22"/>
        </w:rPr>
        <w:t>基本情况： 拓深科技成立于2015年，专注设备级AI电力数字化解决方案，应用于用电安全、能耗管理、智能运维、新能源预测和调度。5月19日完成数亿元新一轮融资，投资方包括元璟资本、浙商创投、诺铁资本、东方嘉富、中信建投、上城资本、远至资本及老股东博将资本。</w:t>
      </w:r>
    </w:p>
    <w:p>
      <w:pPr/>
      <w:r>
        <w:rPr>
          <w:rFonts w:ascii="华文楷体" w:hAnsi="华文楷体" w:eastAsia="华文楷体"/>
          <w:sz w:val="22"/>
        </w:rPr>
        <w:t>高层与团队背景： 公开资料显示联合创始人兼CTO梁昆毕业于上海交通大学，曾任Qualcomm高级工程师，在智能诊断领域拥有多项国家发明专利；其他高层教育背景未披露。</w:t>
      </w:r>
    </w:p>
    <w:p>
      <w:pPr/>
      <w:r>
        <w:rPr>
          <w:rFonts w:ascii="华文楷体" w:hAnsi="华文楷体" w:eastAsia="华文楷体"/>
          <w:sz w:val="22"/>
        </w:rPr>
        <w:t>银行关注点： 企业处于AI与电力基础设施交汇处，融资资金将用于分布式绿色能源和算力驱动的新型电力系统研发应用，项目型收入和融资轮次是重点观察项。</w:t>
      </w:r>
    </w:p>
    <w:p>
      <w:pPr/>
      <w:r>
        <w:rPr>
          <w:rFonts w:ascii="华文楷体" w:hAnsi="华文楷体" w:eastAsia="华文楷体"/>
          <w:sz w:val="22"/>
        </w:rPr>
        <w:t>*推荐理由：</w:t>
      </w:r>
    </w:p>
    <w:p>
      <w:pPr/>
      <w:r>
        <w:rPr>
          <w:rFonts w:ascii="华文楷体" w:hAnsi="华文楷体" w:eastAsia="华文楷体"/>
          <w:sz w:val="22"/>
        </w:rPr>
        <w:t>AI算力增长带动电力调度、零碳园区和数据中心能耗管理需求，拓深处在“比特+瓦特”交叉赛道。</w:t>
      </w:r>
    </w:p>
    <w:p>
      <w:pPr/>
      <w:r>
        <w:rPr>
          <w:rFonts w:ascii="华文楷体" w:hAnsi="华文楷体" w:eastAsia="华文楷体"/>
          <w:sz w:val="22"/>
        </w:rPr>
        <w:t>本轮融资有浙江本地产业资本参与，说明其技术和应用场景获得区域资本认可。</w:t>
      </w:r>
    </w:p>
    <w:p>
      <w:pPr/>
      <w:r>
        <w:rPr>
          <w:rFonts w:ascii="华文楷体" w:hAnsi="华文楷体" w:eastAsia="华文楷体"/>
          <w:sz w:val="22"/>
        </w:rPr>
        <w:t>客户场景覆盖园区、建筑、能源和城市治理，后续项目建设、设备采购、回款账期和现金管理需求较明确。</w:t>
      </w:r>
    </w:p>
    <w:p>
      <w:pPr/>
      <w:r>
        <w:rPr>
          <w:rFonts w:ascii="华文楷体" w:hAnsi="华文楷体" w:eastAsia="华文楷体"/>
          <w:sz w:val="22"/>
        </w:rPr>
        <w:t>*银行展业机会：</w:t>
      </w:r>
    </w:p>
    <w:p>
      <w:pPr/>
      <w:r>
        <w:rPr>
          <w:rFonts w:ascii="华文楷体" w:hAnsi="华文楷体" w:eastAsia="华文楷体"/>
          <w:sz w:val="22"/>
        </w:rPr>
        <w:t>零碳园区和电力数字化项目会产生设备采购、实施垫资和项目回款周期，可切入项目融资、科创贷、保理和票据。</w:t>
      </w:r>
    </w:p>
    <w:p>
      <w:pPr/>
      <w:r>
        <w:rPr>
          <w:rFonts w:ascii="华文楷体" w:hAnsi="华文楷体" w:eastAsia="华文楷体"/>
          <w:sz w:val="22"/>
        </w:rPr>
        <w:t>若服务数据中心或算力园区，可延伸到基础设施债权投资计划、银团融资和平安租赁。</w:t>
      </w:r>
    </w:p>
    <w:p>
      <w:pPr/>
      <w:r>
        <w:rPr>
          <w:rFonts w:ascii="华文楷体" w:hAnsi="华文楷体" w:eastAsia="华文楷体"/>
          <w:sz w:val="22"/>
        </w:rPr>
        <w:t>企业多项目、多账户运营适合数字财资、资产池和慧收款。</w:t>
      </w:r>
    </w:p>
    <w:p>
      <w:pPr/>
      <w:r>
        <w:rPr>
          <w:rFonts w:ascii="华文楷体" w:hAnsi="华文楷体" w:eastAsia="华文楷体"/>
          <w:sz w:val="22"/>
        </w:rPr>
        <w:t>*推荐产品组合：</w:t>
      </w:r>
    </w:p>
    <w:p>
      <w:pPr/>
      <w:r>
        <w:rPr>
          <w:rFonts w:ascii="华文楷体" w:hAnsi="华文楷体" w:eastAsia="华文楷体"/>
          <w:sz w:val="22"/>
        </w:rPr>
        <w:t>建议以科技创新和技术更新改造再贷款或普惠金融科创贷切入，支持研发与项目交付；配套平安租赁、付融通、数字财资和资产池，用于设备投入、应收账款和多项目资金管理。额度、期限、费率待沟通。</w:t>
      </w:r>
    </w:p>
    <w:p>
      <w:pPr/>
      <w:r>
        <w:rPr>
          <w:rFonts w:ascii="华文楷体" w:hAnsi="华文楷体" w:eastAsia="华文楷体"/>
          <w:sz w:val="22"/>
        </w:rPr>
        <w:t>*客户经理切入话术：</w:t>
      </w:r>
    </w:p>
    <w:p>
      <w:pPr/>
      <w:r>
        <w:rPr>
          <w:rFonts w:ascii="华文楷体" w:hAnsi="华文楷体" w:eastAsia="华文楷体"/>
          <w:sz w:val="22"/>
        </w:rPr>
        <w:t>“AI算力扩张后，电力数字化和零碳园区会成为刚需。贵司刚完成新一轮融资，我们想协助把项目实施、设备采购和回款管理做成一套融资加结算方案。”</w:t>
      </w:r>
    </w:p>
    <w:p>
      <w:pPr/>
      <w:r>
        <w:rPr>
          <w:rFonts w:ascii="华文楷体" w:hAnsi="华文楷体" w:eastAsia="华文楷体"/>
          <w:sz w:val="22"/>
        </w:rPr>
        <w:t>*风险提示：</w:t>
      </w:r>
    </w:p>
    <w:p>
      <w:pPr/>
      <w:r>
        <w:rPr>
          <w:rFonts w:ascii="华文楷体" w:hAnsi="华文楷体" w:eastAsia="华文楷体"/>
          <w:sz w:val="22"/>
        </w:rPr>
        <w:t>项目实施周期、客户验收、持续运维收入和融资后现金消耗速度需核实；需结合项目合同、回款、毛利率和客户结构尽调。</w:t>
      </w:r>
    </w:p>
    <w:p>
      <w:pPr>
        <w:pStyle w:val="Heading2"/>
      </w:pPr>
      <w:r>
        <w:rPr>
          <w:rFonts w:ascii="华文楷体" w:hAnsi="华文楷体" w:eastAsia="华文楷体"/>
          <w:sz w:val="22"/>
        </w:rPr>
        <w:t>企业名称：杭州群核信息技术有限公司</w:t>
      </w:r>
    </w:p>
    <w:p>
      <w:pPr/>
      <w:r>
        <w:rPr>
          <w:rFonts w:ascii="华文楷体" w:hAnsi="华文楷体" w:eastAsia="华文楷体"/>
          <w:sz w:val="22"/>
        </w:rPr>
        <w:t>推荐等级： 中</w:t>
      </w:r>
    </w:p>
    <w:p>
      <w:pPr/>
      <w:r>
        <w:rPr>
          <w:rFonts w:ascii="华文楷体" w:hAnsi="华文楷体" w:eastAsia="华文楷体"/>
          <w:sz w:val="22"/>
        </w:rPr>
        <w:t>所属行业： AI设计软件/云渲染/空间智能</w:t>
      </w:r>
    </w:p>
    <w:p>
      <w:pPr/>
      <w:r>
        <w:rPr>
          <w:rFonts w:ascii="华文楷体" w:hAnsi="华文楷体" w:eastAsia="华文楷体"/>
          <w:sz w:val="22"/>
        </w:rPr>
        <w:t>所在地区： 杭州</w:t>
      </w:r>
    </w:p>
    <w:p>
      <w:pPr/>
      <w:r>
        <w:rPr>
          <w:rFonts w:ascii="华文楷体" w:hAnsi="华文楷体" w:eastAsia="华文楷体"/>
          <w:sz w:val="22"/>
        </w:rPr>
        <w:t>产业链位置： 平台型/软件服务</w:t>
      </w:r>
    </w:p>
    <w:p>
      <w:pPr/>
      <w:r>
        <w:rPr>
          <w:rFonts w:ascii="华文楷体" w:hAnsi="华文楷体" w:eastAsia="华文楷体"/>
          <w:sz w:val="22"/>
        </w:rPr>
        <w:t>推荐方向： 现金管理、供应链金融、跨境结算、代发、综合金融</w:t>
      </w:r>
    </w:p>
    <w:p>
      <w:pPr/>
      <w:r>
        <w:rPr>
          <w:rFonts w:ascii="华文楷体" w:hAnsi="华文楷体" w:eastAsia="华文楷体"/>
          <w:sz w:val="22"/>
        </w:rPr>
        <w:t>*企业关键信息：</w:t>
      </w:r>
    </w:p>
    <w:p>
      <w:pPr/>
      <w:r>
        <w:rPr>
          <w:rFonts w:ascii="华文楷体" w:hAnsi="华文楷体" w:eastAsia="华文楷体"/>
          <w:sz w:val="22"/>
        </w:rPr>
        <w:t>基本情况： 群核科技旗下酷家乐是3D云设计和云渲染平台，面向家居、建筑、室内设计和工业设计等场景，属于杭州数字经济和AI工具软件代表企业。</w:t>
      </w:r>
    </w:p>
    <w:p>
      <w:pPr/>
      <w:r>
        <w:rPr>
          <w:rFonts w:ascii="华文楷体" w:hAnsi="华文楷体" w:eastAsia="华文楷体"/>
          <w:sz w:val="22"/>
        </w:rPr>
        <w:t>高层与团队背景： 联合创始人黄晓煌公开资料显示本科毕业于浙江大学竺可桢学院计算机图形学专业，后获UIUC硕士学位，曾任英伟达软件工程师并参与CUDA相关工作；联合创始人陈航也为浙江大学竺可桢学院背景，朱皓拥有清华大学和UIUC计算机背景。导师等细节部分公开，需以企业披露为准。</w:t>
      </w:r>
    </w:p>
    <w:p>
      <w:pPr/>
      <w:r>
        <w:rPr>
          <w:rFonts w:ascii="华文楷体" w:hAnsi="华文楷体" w:eastAsia="华文楷体"/>
          <w:sz w:val="22"/>
        </w:rPr>
        <w:t>银行关注点： 团队具备高性能计算、计算机图形学和云渲染背景，平台收入质量、订阅续费率、客户行业景气度和IPO进展是关注重点。</w:t>
      </w:r>
    </w:p>
    <w:p>
      <w:pPr/>
      <w:r>
        <w:rPr>
          <w:rFonts w:ascii="华文楷体" w:hAnsi="华文楷体" w:eastAsia="华文楷体"/>
          <w:sz w:val="22"/>
        </w:rPr>
        <w:t>*推荐理由：</w:t>
      </w:r>
    </w:p>
    <w:p>
      <w:pPr/>
      <w:r>
        <w:rPr>
          <w:rFonts w:ascii="华文楷体" w:hAnsi="华文楷体" w:eastAsia="华文楷体"/>
          <w:sz w:val="22"/>
        </w:rPr>
        <w:t>AI设计软件属于模型落地和工业/家居数字化工具链，具备软件订阅和平台生态属性。</w:t>
      </w:r>
    </w:p>
    <w:p>
      <w:pPr/>
      <w:r>
        <w:rPr>
          <w:rFonts w:ascii="华文楷体" w:hAnsi="华文楷体" w:eastAsia="华文楷体"/>
          <w:sz w:val="22"/>
        </w:rPr>
        <w:t>公司被纳入“杭州六小龙”语境，公开报道显示其资本市场关注度较高，适合提前布局综合金融关系。</w:t>
      </w:r>
    </w:p>
    <w:p>
      <w:pPr/>
      <w:r>
        <w:rPr>
          <w:rFonts w:ascii="华文楷体" w:hAnsi="华文楷体" w:eastAsia="华文楷体"/>
          <w:sz w:val="22"/>
        </w:rPr>
        <w:t>其平台连接家居品牌、设计师、经销商和门店，存在生态结算、经销商融资和现金管理机会。</w:t>
      </w:r>
    </w:p>
    <w:p>
      <w:pPr/>
      <w:r>
        <w:rPr>
          <w:rFonts w:ascii="华文楷体" w:hAnsi="华文楷体" w:eastAsia="华文楷体"/>
          <w:sz w:val="22"/>
        </w:rPr>
        <w:t>*银行展业机会：</w:t>
      </w:r>
    </w:p>
    <w:p>
      <w:pPr/>
      <w:r>
        <w:rPr>
          <w:rFonts w:ascii="华文楷体" w:hAnsi="华文楷体" w:eastAsia="华文楷体"/>
          <w:sz w:val="22"/>
        </w:rPr>
        <w:t>平台交易和会员体系可切入平安结算通、产业结算通、慧收款和数字财资。</w:t>
      </w:r>
    </w:p>
    <w:p>
      <w:pPr/>
      <w:r>
        <w:rPr>
          <w:rFonts w:ascii="华文楷体" w:hAnsi="华文楷体" w:eastAsia="华文楷体"/>
          <w:sz w:val="22"/>
        </w:rPr>
        <w:t>经销商和门店采购可探索订货贷、平台数字贷和普惠金融场景化方案。</w:t>
      </w:r>
    </w:p>
    <w:p>
      <w:pPr/>
      <w:r>
        <w:rPr>
          <w:rFonts w:ascii="华文楷体" w:hAnsi="华文楷体" w:eastAsia="华文楷体"/>
          <w:sz w:val="22"/>
        </w:rPr>
        <w:t>若存在境外业务或IPO相关安排，可联动跨境资金管理、资本市场融资和平安证券资源。</w:t>
      </w:r>
    </w:p>
    <w:p>
      <w:pPr/>
      <w:r>
        <w:rPr>
          <w:rFonts w:ascii="华文楷体" w:hAnsi="华文楷体" w:eastAsia="华文楷体"/>
          <w:sz w:val="22"/>
        </w:rPr>
        <w:t>*推荐产品组合：</w:t>
      </w:r>
    </w:p>
    <w:p>
      <w:pPr/>
      <w:r>
        <w:rPr>
          <w:rFonts w:ascii="华文楷体" w:hAnsi="华文楷体" w:eastAsia="华文楷体"/>
          <w:sz w:val="22"/>
        </w:rPr>
        <w:t>建议以数字财资和平安结算通切入，解决平台账户、商户结算和资金归集；配套平台数字贷、订货贷、跨境支付结算和资本市场融资服务，用于生态客群经营与资本市场准备。额度、期限、费率待沟通。</w:t>
      </w:r>
    </w:p>
    <w:p>
      <w:pPr/>
      <w:r>
        <w:rPr>
          <w:rFonts w:ascii="华文楷体" w:hAnsi="华文楷体" w:eastAsia="华文楷体"/>
          <w:sz w:val="22"/>
        </w:rPr>
        <w:t>*客户经理切入话术：</w:t>
      </w:r>
    </w:p>
    <w:p>
      <w:pPr/>
      <w:r>
        <w:rPr>
          <w:rFonts w:ascii="华文楷体" w:hAnsi="华文楷体" w:eastAsia="华文楷体"/>
          <w:sz w:val="22"/>
        </w:rPr>
        <w:t>“贵司平台连接设计师、品牌商和经销商，金融切入点不只是单户授信。我们想先看平台资金流、商户结算和经销商采购链路，评估是否能做结算通加场景融资。”</w:t>
      </w:r>
    </w:p>
    <w:p>
      <w:pPr/>
      <w:r>
        <w:rPr>
          <w:rFonts w:ascii="华文楷体" w:hAnsi="华文楷体" w:eastAsia="华文楷体"/>
          <w:sz w:val="22"/>
        </w:rPr>
        <w:t>*风险提示：</w:t>
      </w:r>
    </w:p>
    <w:p>
      <w:pPr/>
      <w:r>
        <w:rPr>
          <w:rFonts w:ascii="华文楷体" w:hAnsi="华文楷体" w:eastAsia="华文楷体"/>
          <w:sz w:val="22"/>
        </w:rPr>
        <w:t>软件平台受房地产、家居消费景气度影响，IPO进展和估值波动需持续关注；需核实收入结构、续费率、客户集中度和境外业务合规。</w:t>
      </w:r>
    </w:p>
    <w:p>
      <w:pPr>
        <w:pStyle w:val="Heading1"/>
      </w:pPr>
      <w:r>
        <w:rPr>
          <w:rFonts w:ascii="华文楷体" w:hAnsi="华文楷体" w:eastAsia="华文楷体"/>
          <w:sz w:val="22"/>
        </w:rPr>
        <w:t>四、客户经理行动建议</w:t>
      </w:r>
    </w:p>
    <w:p>
      <w:pPr/>
      <w:r>
        <w:rPr>
          <w:rFonts w:ascii="华文楷体" w:hAnsi="华文楷体" w:eastAsia="华文楷体"/>
          <w:sz w:val="22"/>
        </w:rPr>
        <w:t>1. 本周优先拜访杭州宇树科技、强脑科技、云深处科技和拓深科技，拜访主题聚焦“中试基地落地后的订单、场景、设备和回款安排”。</w:t>
      </w:r>
    </w:p>
    <w:p>
      <w:pPr/>
      <w:r>
        <w:rPr>
          <w:rFonts w:ascii="华文楷体" w:hAnsi="华文楷体" w:eastAsia="华文楷体"/>
          <w:sz w:val="22"/>
        </w:rPr>
        <w:t>2. 对宇树科技和云深处科技，先从机器人量产备货、上游零部件付款和客户账期切入，准备订单融资、银票贴现、付融通和数字财资组合方案。</w:t>
      </w:r>
    </w:p>
    <w:p>
      <w:pPr/>
      <w:r>
        <w:rPr>
          <w:rFonts w:ascii="华文楷体" w:hAnsi="华文楷体" w:eastAsia="华文楷体"/>
          <w:sz w:val="22"/>
        </w:rPr>
        <w:t>3. 对强脑科技，围绕灵巧手、智能康复和脑机接口硬件交付，先了解医疗/机器人客户订单、认证进度和海外收款，准备科创贷、平安租赁和跨境结算方案。</w:t>
      </w:r>
    </w:p>
    <w:p>
      <w:pPr/>
      <w:r>
        <w:rPr>
          <w:rFonts w:ascii="华文楷体" w:hAnsi="华文楷体" w:eastAsia="华文楷体"/>
          <w:sz w:val="22"/>
        </w:rPr>
        <w:t>4. 对拓深科技，围绕AI电力数字化、零碳园区和算力供电场景，联动产品经理准备科技创新和技术更新改造再贷款、项目融资、平安租赁和资产池方案。</w:t>
      </w:r>
    </w:p>
    <w:p>
      <w:pPr/>
      <w:r>
        <w:rPr>
          <w:rFonts w:ascii="华文楷体" w:hAnsi="华文楷体" w:eastAsia="华文楷体"/>
          <w:sz w:val="22"/>
        </w:rPr>
        <w:t>5. 对群核科技，先不急于做重授信，建议从平台结算、商户资金管理、经销商场景融资和代发切入，争取成为其生态资金管理合作银行。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