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人工智能行业商机周报</w:t>
      </w:r>
    </w:p>
    <w:p>
      <w:r>
        <w:t>覆盖周期：2026年5月22日至2026年5月28日</w:t>
      </w:r>
    </w:p>
    <w:p>
      <w:r>
        <w:t>资料来源：同花顺、财联社、新华网、经济观察网、机器之心、量子位、36氪、SearXNG/Brave检索、iFinD新闻公告、公开公司资料及平安银行产品资料。</w:t>
      </w:r>
    </w:p>
    <w:p/>
    <w:p>
      <w:pPr>
        <w:pStyle w:val="Heading2"/>
      </w:pPr>
      <w:r>
        <w:t>一、行业动态与发展总结</w:t>
      </w:r>
    </w:p>
    <w:p>
      <w:pPr>
        <w:pStyle w:val="Heading3"/>
      </w:pPr>
      <w:r>
        <w:t>1. 近期政策变动</w:t>
      </w:r>
    </w:p>
    <w:p>
      <w:r>
        <w:t>本周行业政策主线集中在“人工智能+”、AI生成内容治理、AI安全和实体产业融合。新华社科技频道披露，“十五五”期间法院将完善AI生成物等方面裁判规则，说明AI生成内容的权利归属、责任认定和交易合规将进入更细颗粒度阶段。对模型、AIGC应用、智能体服务企业而言，合规、数据来源、版权授权和审计留痕将从技术问题变成经营门槛。</w:t>
      </w:r>
    </w:p>
    <w:p>
      <w:r>
        <w:t>全国层面的产业导向仍是推动人工智能从模型能力竞争转向行业场景落地。2026全球人工智能技术大会上，多位专家围绕AI基础理论、智能制造、物理智能、数据智能、AI安全和大语言模型等方向展开讨论，强调专业数据、行业大模型、智能体与工程系统协同。</w:t>
      </w:r>
    </w:p>
    <w:p>
      <w:r>
        <w:t>综合影响闭环：政策和监管的共同方向，是让AI企业从“能做模型”走向“可验证、可交付、可合规”的工程化阶段。经营含义是研发投入、数据治理、算力和场景验证成本上升；金融需求会体现为研发流动资金、GPU和服务器采购、知识产权和数据资产相关增信、订单交付周期中的应收账款周转；平安银行可用普惠金融科创贷、科技创新和技术更新改造再贷款、设备融资、数字财资、订单融资和付融通切入。</w:t>
      </w:r>
    </w:p>
    <w:p/>
    <w:p>
      <w:pPr>
        <w:pStyle w:val="Heading3"/>
      </w:pPr>
      <w:r>
        <w:t>2. 政府规划与产业方向</w:t>
      </w:r>
    </w:p>
    <w:p>
      <w:r>
        <w:t>国家层面延续“人工智能+”行动和未来产业布局，重点不再只是通用模型参数竞赛，而是鼓励AI进入制造、医疗、城市治理、交通、农业、金融服务等真实场景。行业主管部门和学术组织同步关注AI安全、AI关键能力清单、知识产权运营和AI创新创业生态，释放出“技术标准化、成果资产化、场景产业化”的信号。</w:t>
      </w:r>
    </w:p>
    <w:p>
      <w:r>
        <w:t>对银行而言，政策工具带来的机会主要在三类企业：一是有研发投入和专利积累的模型、算力、机器人企业；二是具备订单和交付能力的AI硬件、光模块、PCB、服务器、传感器企业；三是承接政府或行业数字化项目的平台型服务商。</w:t>
      </w:r>
    </w:p>
    <w:p/>
    <w:p>
      <w:pPr>
        <w:pStyle w:val="Heading3"/>
      </w:pPr>
      <w:r>
        <w:t>3. 行业发展趋势</w:t>
      </w:r>
    </w:p>
    <w:p>
      <w:r>
        <w:t>本周AI行业呈现三条主线。第一，国产大模型进入资本与商业模式再定价阶段，DeepSeek被报道推进大额融资并继续强调开源和AGI研究，说明头部模型公司融资逻辑从短期收入转向技术领先、人才锁定和算力储备。第二，算力基础设施从GPU单点紧张扩散到光模块、PCB、存储、交换机、电源和液冷的系统性供给约束。第三，具身智能和机器人进入从样机展示到中试验证、场景渗透和供应链协同的阶段。</w:t>
      </w:r>
    </w:p>
    <w:p>
      <w:r>
        <w:t>行业整体处于高景气但强分化阶段。模型层头部集中度提高，资本会继续向少数技术和生态领先企业集中；算力硬件链景气度更确定，但周期波动和产能错配风险也更高；应用层企业需要证明付费场景和交付能力，单纯概念型AI应用风险较大。</w:t>
      </w:r>
    </w:p>
    <w:p/>
    <w:p>
      <w:pPr>
        <w:pStyle w:val="Heading3"/>
      </w:pPr>
      <w:r>
        <w:t>4. 上下游产业链动态</w:t>
      </w:r>
    </w:p>
    <w:p>
      <w:r>
        <w:t>上游看，AI算力系统正在从单个GPU扩展为整套硬件系统，高速光模块、1.6T/3.2T互联、AI服务器高多层PCB、HBM/存储、交换机、液冷、电源管理均成为瓶颈环节。中游看，国产AI芯片、服务器整机、智能机器人整机和核心零部件企业订单能见度提升，但需要提前备货、扩产和绑定供应链。下游看，运营商Token套餐、企业级Agent、智能驾驶、家庭和工业机器人正在推动AI服务消费化、平台化和场景化。</w:t>
      </w:r>
    </w:p>
    <w:p>
      <w:r>
        <w:t>资金占用最大的环节包括GPU/服务器采购、光模块与PCB备货、机器人样机到小批量试产、行业项目交付前垫资。适合供应链金融、票据、保理、订单融资和订货贷切入的，是具有明确核心客户、订单合同和交付周期的硬件链及工业场景服务商。</w:t>
      </w:r>
    </w:p>
    <w:p/>
    <w:p>
      <w:pPr>
        <w:pStyle w:val="Heading2"/>
      </w:pPr>
      <w:r>
        <w:t>二、浙江地区动态与区域机会</w:t>
      </w:r>
    </w:p>
    <w:p>
      <w:pPr>
        <w:pStyle w:val="Heading3"/>
      </w:pPr>
      <w:r>
        <w:t>1. 浙江政策与政府规划</w:t>
      </w:r>
    </w:p>
    <w:p>
      <w:r>
        <w:t>杭州是本周浙江AI动态核心。5月23日至24日，2026全球人工智能技术大会在杭州余杭未来科技城举办，国家级人工智能关键应用产业知识产权运营中心揭牌，余杭项目签约，人工智能关键能力清单和CAAI-蚂蚁科研基金AGI专项发布。余杭已集聚超过3200家国家高新技术企业和超50万名创新创业人才，继续强化杭州AI创新生态。</w:t>
      </w:r>
    </w:p>
    <w:p>
      <w:r>
        <w:t>5月16日，国家人工智能应用中试基地（具身智能）在杭州滨江揭牌，5月20日杭州召开专题座谈会，提出以算力保障、数据开放、模型服务、场景验证为核心建设公共技术服务平台，为具身智能机器人打通从实验室到生产线的转化通道。杭州已出台全国首部聚焦具身智能机器人领域的地方性法规，具身智能产业集群2025年产值达1068亿元。</w:t>
      </w:r>
    </w:p>
    <w:p>
      <w:r>
        <w:t>富阳在5月20日AI+产业大会分会场聚焦具身智能，发布总规模约10亿元的杭州人工智能具身机器人科技基金、1.5亿元杭州启真未来股权投资基金和首期1亿元富阳泽然亿咖通科技产业投资基金，并启动政银合作生态共建。</w:t>
      </w:r>
    </w:p>
    <w:p/>
    <w:p>
      <w:pPr>
        <w:pStyle w:val="Heading3"/>
      </w:pPr>
      <w:r>
        <w:t>2. 浙江重点产业与区域机会</w:t>
      </w:r>
    </w:p>
    <w:p>
      <w:r>
        <w:t>浙江机会集中在杭州余杭、滨江、富阳三类区域。余杭适合跟进大模型、AI应用、知识产权运营和创新创业项目；滨江适合跟进具身智能中试、机器人整机、算法平台、核心传感和场景验证企业；富阳适合跟进具身智能产业链上下游，包括电机、智能控制、整机、消防/安防/工业场景应用和产业基金落地项目。</w:t>
      </w:r>
    </w:p>
    <w:p>
      <w:r>
        <w:t>从“415X”和杭州“296X”先进制造业集群看，AI与高端装备、智能物联、数字经济、未来产业结合度最高。客户经理应优先扫客具备专精特新、高新技术企业、上市辅导、政府基金或园区落地信号的企业。</w:t>
      </w:r>
    </w:p>
    <w:p/>
    <w:p>
      <w:pPr>
        <w:pStyle w:val="Heading3"/>
      </w:pPr>
      <w:r>
        <w:t>3. 浙江上下游产业链动态</w:t>
      </w:r>
    </w:p>
    <w:p>
      <w:r>
        <w:t>浙江AI产业链上游主要集中在算力、服务器、通信连接、传感器、机器人核心零部件和研发平台；中游包括大模型、空间智能、机器人整机、智能装备集成和行业AI解决方案；下游覆盖制造、家居设计、汽车、医疗、城市治理、仓储物流、消防安防和消费服务。</w:t>
      </w:r>
    </w:p>
    <w:p>
      <w:r>
        <w:t>本周最明显的变化是中试和场景验证资源被制度化配置。对银行而言，这会把早期研发企业的需求从“股权融资为主”逐步扩展到设备采购、流动资金、订单交付、票据和现金管理等债务融资场景。核心企业如宇树科技、DeepSeek、群核科技、天奇自动化，以及富阳具身智能产业链企业，可以带动上下游供应商和场景客户批量营销。</w:t>
      </w:r>
    </w:p>
    <w:p/>
    <w:p>
      <w:pPr>
        <w:pStyle w:val="Heading3"/>
      </w:pPr>
      <w:r>
        <w:t>4. 银行展业机会</w:t>
      </w:r>
    </w:p>
    <w:p>
      <w:r>
        <w:t>1. 围绕杭州具身智能中试基地，切入机器人整机、核心零部件、场景验证和试产企业，主推普惠金融科创贷、科技创新和技术更新改造再贷款、平安租赁和订单融资。</w:t>
      </w:r>
    </w:p>
    <w:p>
      <w:r>
        <w:t>2. 围绕余杭AI大会和知识产权运营中心，筛选大模型、AI安全、行业模型和AI应用企业，用知识产权质押增信、研发流动资金、数字财资和代发服务建立关系。</w:t>
      </w:r>
    </w:p>
    <w:p>
      <w:r>
        <w:t>3. 围绕富阳具身智能基金和产业链发布项目，批量触达电机、控制、整机、安防消防、工业场景应用企业，重点做园区授信、供应链金融、票据贴现和现金管理。</w:t>
      </w:r>
    </w:p>
    <w:p>
      <w:r>
        <w:t>4. 围绕AI算力紧缺，跟进浙江本地服务器、连接器、PCB、光模块、数据中心服务和云服务商，重点关注设备采购、预付款、应收账款和跨境采购结算需求。</w:t>
      </w:r>
    </w:p>
    <w:p/>
    <w:p>
      <w:pPr>
        <w:pStyle w:val="Heading2"/>
      </w:pPr>
      <w:r>
        <w:t>三、重点企业推荐</w:t>
      </w:r>
    </w:p>
    <w:p>
      <w:pPr>
        <w:pStyle w:val="Heading3"/>
      </w:pPr>
      <w:r>
        <w:t>企业名称：杭州深度求索人工智能基础技术研究有限公司（DeepSeek）</w:t>
      </w:r>
    </w:p>
    <w:p>
      <w:pPr>
        <w:pStyle w:val="ListBullet"/>
      </w:pPr>
      <w:r>
        <w:t>推荐等级：高</w:t>
      </w:r>
    </w:p>
    <w:p>
      <w:pPr>
        <w:pStyle w:val="ListBullet"/>
      </w:pPr>
      <w:r>
        <w:t>所属行业：AI基础模型/大语言模型</w:t>
      </w:r>
    </w:p>
    <w:p>
      <w:pPr>
        <w:pStyle w:val="ListBullet"/>
      </w:pPr>
      <w:r>
        <w:t>所在地区：杭州</w:t>
      </w:r>
    </w:p>
    <w:p>
      <w:pPr>
        <w:pStyle w:val="ListBullet"/>
      </w:pPr>
      <w:r>
        <w:t>产业链位置：平台型/模型层</w:t>
      </w:r>
    </w:p>
    <w:p>
      <w:pPr>
        <w:pStyle w:val="ListBullet"/>
      </w:pPr>
      <w:r>
        <w:t>推荐方向：流动资金、算力设备、现金管理、跨境结算</w:t>
      </w:r>
    </w:p>
    <w:p/>
    <w:p>
      <w:r>
        <w:t>企业关键信息：</w:t>
      </w:r>
    </w:p>
    <w:p>
      <w:pPr>
        <w:pStyle w:val="ListBullet"/>
      </w:pPr>
      <w:r>
        <w:t>基本情况： 主营开源大模型和基础模型研发，2023年创立，总部杭州。公开报道显示，公司被投资机构关注，融资目标和估值信息仍需进一步核实。</w:t>
      </w:r>
    </w:p>
    <w:p>
      <w:pPr>
        <w:pStyle w:val="ListBullet"/>
      </w:pPr>
      <w:r>
        <w:t>高层与团队背景： 创始人梁文锋公开信息显示毕业于浙江大学，长期从事量化和AI研究，具备技术研发和算力资源组织背景；导师信息未披露。</w:t>
      </w:r>
    </w:p>
    <w:p>
      <w:pPr>
        <w:pStyle w:val="ListBullet"/>
      </w:pPr>
      <w:r>
        <w:t>银行关注点： 创始人和团队技术导向强，适合从研发投入、算力采购、人才留存和资金管理场景切入，但商业化节奏与融资真实性需审慎核实。</w:t>
      </w:r>
    </w:p>
    <w:p/>
    <w:p>
      <w:r>
        <w:t>推荐理由：</w:t>
      </w:r>
    </w:p>
    <w:p>
      <w:pPr>
        <w:pStyle w:val="ListBullet"/>
      </w:pPr>
      <w:r>
        <w:t>本周公开报道显示其推进大额融资并强调开源模型和AGI研究。</w:t>
      </w:r>
    </w:p>
    <w:p>
      <w:pPr>
        <w:pStyle w:val="ListBullet"/>
      </w:pPr>
      <w:r>
        <w:t>杭州AI生态和余杭大会强化本地模型产业氛围。</w:t>
      </w:r>
    </w:p>
    <w:p>
      <w:pPr>
        <w:pStyle w:val="ListBullet"/>
      </w:pPr>
      <w:r>
        <w:t>算力和人才投入会持续形成资金需求。</w:t>
      </w:r>
    </w:p>
    <w:p/>
    <w:p>
      <w:r>
        <w:t>银行展业机会：</w:t>
      </w:r>
    </w:p>
    <w:p>
      <w:r>
        <w:t>模型训练和推理扩张会带来GPU/服务器采购、云资源、薪酬和研发流动资金需求。建议以普惠金融科创贷切入研发运营资金，配套科技创新和技术更新改造再贷款、设备融资、数字财资和跨境支付结算。</w:t>
      </w:r>
    </w:p>
    <w:p/>
    <w:p>
      <w:r>
        <w:t>推荐产品组合：</w:t>
      </w:r>
    </w:p>
    <w:p>
      <w:r>
        <w:t>建议以普惠金融科创贷作为主推产品，解决研发和日常经营周转；配套科技创新和技术更新改造再贷款、设备融资及数字财资，用于算力设备采购、资金集中管理和跨境技术服务结算，额度、期限和费率待沟通。</w:t>
      </w:r>
    </w:p>
    <w:p/>
    <w:p>
      <w:r>
        <w:t>客户经理切入话术：</w:t>
      </w:r>
    </w:p>
    <w:p>
      <w:r>
        <w:t>“我们注意到公司近期围绕开源模型和算力投入持续受到市场关注，想了解贵司今年算力采购、研发支出和资金集中管理安排，看是否能用科创贷、设备融资和数字财资先做一个轻量方案。”</w:t>
      </w:r>
    </w:p>
    <w:p/>
    <w:p>
      <w:r>
        <w:t>风险提示：</w:t>
      </w:r>
    </w:p>
    <w:p>
      <w:r>
        <w:t>融资报道、估值和投资方信息需核实；基础模型公司算力投入高、商业化不确定性较强，需结合流水、合同、股权结构和合规情况尽调。</w:t>
      </w:r>
    </w:p>
    <w:p/>
    <w:p>
      <w:pPr>
        <w:pStyle w:val="Heading3"/>
      </w:pPr>
      <w:r>
        <w:t>企业名称：杭州宇树科技有限公司</w:t>
      </w:r>
    </w:p>
    <w:p>
      <w:pPr>
        <w:pStyle w:val="ListBullet"/>
      </w:pPr>
      <w:r>
        <w:t>推荐等级：高</w:t>
      </w:r>
    </w:p>
    <w:p>
      <w:pPr>
        <w:pStyle w:val="ListBullet"/>
      </w:pPr>
      <w:r>
        <w:t>所属行业：具身智能/人形机器人</w:t>
      </w:r>
    </w:p>
    <w:p>
      <w:pPr>
        <w:pStyle w:val="ListBullet"/>
      </w:pPr>
      <w:r>
        <w:t>所在地区：杭州滨江</w:t>
      </w:r>
    </w:p>
    <w:p>
      <w:pPr>
        <w:pStyle w:val="ListBullet"/>
      </w:pPr>
      <w:r>
        <w:t>产业链位置：中游/整机</w:t>
      </w:r>
    </w:p>
    <w:p>
      <w:pPr>
        <w:pStyle w:val="ListBullet"/>
      </w:pPr>
      <w:r>
        <w:t>推荐方向：设备融资、订单融资、供应链金融、现金管理</w:t>
      </w:r>
    </w:p>
    <w:p/>
    <w:p>
      <w:r>
        <w:t>企业关键信息：</w:t>
      </w:r>
    </w:p>
    <w:p>
      <w:pPr>
        <w:pStyle w:val="ListBullet"/>
      </w:pPr>
      <w:r>
        <w:t>基本情况： 主营四足机器人和人形机器人，位于杭州，是杭州具身智能产业代表企业之一。杭州公开信息显示其是本地机器人产业链重点企业。</w:t>
      </w:r>
    </w:p>
    <w:p>
      <w:pPr>
        <w:pStyle w:val="ListBullet"/>
      </w:pPr>
      <w:r>
        <w:t>高层与团队背景： 创始人王兴兴公开信息显示毕业于浙江大学，具备机器人研发和创业背景；导师、CFO等信息未披露。</w:t>
      </w:r>
    </w:p>
    <w:p>
      <w:pPr>
        <w:pStyle w:val="ListBullet"/>
      </w:pPr>
      <w:r>
        <w:t>银行关注点： 团队技术品牌和产业影响力强，处在具身智能中试和产业化政策红利中心，适合围绕量产、供应链和中试场景建立综合关系。</w:t>
      </w:r>
    </w:p>
    <w:p/>
    <w:p>
      <w:r>
        <w:t>推荐理由：</w:t>
      </w:r>
    </w:p>
    <w:p>
      <w:pPr>
        <w:pStyle w:val="ListBullet"/>
      </w:pPr>
      <w:r>
        <w:t>国家人工智能应用中试基地（具身智能）在杭州滨江落地，杭州提出建设具身智能机器人产业集群。</w:t>
      </w:r>
    </w:p>
    <w:p>
      <w:pPr>
        <w:pStyle w:val="ListBullet"/>
      </w:pPr>
      <w:r>
        <w:t>宇树作为代表企业，可能受益于场景验证、产线扩张和供应链协同。</w:t>
      </w:r>
    </w:p>
    <w:p/>
    <w:p>
      <w:r>
        <w:t>银行展业机会：</w:t>
      </w:r>
    </w:p>
    <w:p>
      <w:r>
        <w:t>整机量产和场景交付会形成核心零部件采购、库存、订单回款和供应商账期需求。建议以设备融资和平安租赁切入产线与设备，配套订单融资、付融通、银票贴现和数字财资。</w:t>
      </w:r>
    </w:p>
    <w:p/>
    <w:p>
      <w:r>
        <w:t>推荐产品组合：</w:t>
      </w:r>
    </w:p>
    <w:p>
      <w:r>
        <w:t>建议以设备融资/平安租赁作为主推产品，支持产线和检测设备投入；配套订单融资、付融通、银票无感贴现和数字财资，解决供应商付款、订单交付和资金集中管理，具体额度和期限待沟通。</w:t>
      </w:r>
    </w:p>
    <w:p/>
    <w:p>
      <w:r>
        <w:t>客户经理切入话术：</w:t>
      </w:r>
    </w:p>
    <w:p>
      <w:r>
        <w:t>“杭州中试基地启用后，机器人企业从样机到小批量交付的资金节奏会更紧。我们想先围绕贵司订单、供应商和设备采购做一次资金流梳理，看看哪些环节可以用设备融资和供应链产品降成本。”</w:t>
      </w:r>
    </w:p>
    <w:p/>
    <w:p>
      <w:r>
        <w:t>风险提示：</w:t>
      </w:r>
    </w:p>
    <w:p>
      <w:r>
        <w:t>行业热度高但规模化应用仍在爬坡，需关注订单真实性、毛利率、核心零部件依赖、应收账款和团队稳定性。</w:t>
      </w:r>
    </w:p>
    <w:p/>
    <w:p>
      <w:pPr>
        <w:pStyle w:val="Heading3"/>
      </w:pPr>
      <w:r>
        <w:t>企业名称：杭州群核信息技术有限公司（Manycore Tech/酷家乐）</w:t>
      </w:r>
    </w:p>
    <w:p>
      <w:pPr>
        <w:pStyle w:val="ListBullet"/>
      </w:pPr>
      <w:r>
        <w:t>推荐等级：高</w:t>
      </w:r>
    </w:p>
    <w:p>
      <w:pPr>
        <w:pStyle w:val="ListBullet"/>
      </w:pPr>
      <w:r>
        <w:t>所属行业：空间智能/AI软件</w:t>
      </w:r>
    </w:p>
    <w:p>
      <w:pPr>
        <w:pStyle w:val="ListBullet"/>
      </w:pPr>
      <w:r>
        <w:t>所在地区：杭州</w:t>
      </w:r>
    </w:p>
    <w:p>
      <w:pPr>
        <w:pStyle w:val="ListBullet"/>
      </w:pPr>
      <w:r>
        <w:t>产业链位置：平台型/应用层</w:t>
      </w:r>
    </w:p>
    <w:p>
      <w:pPr>
        <w:pStyle w:val="ListBullet"/>
      </w:pPr>
      <w:r>
        <w:t>推荐方向：现金管理、跨境结算、代发、资本市场综合金融</w:t>
      </w:r>
    </w:p>
    <w:p/>
    <w:p>
      <w:r>
        <w:t>企业关键信息：</w:t>
      </w:r>
    </w:p>
    <w:p>
      <w:pPr>
        <w:pStyle w:val="ListBullet"/>
      </w:pPr>
      <w:r>
        <w:t>基本情况： 主营云设计软件、空间智能和家居产业数字化服务，核心产品包括酷家乐。公开信息显示公司已于2026年4月在港交所挂牌，属于杭州AI六小龙中较早资本化企业。</w:t>
      </w:r>
    </w:p>
    <w:p>
      <w:pPr>
        <w:pStyle w:val="ListBullet"/>
      </w:pPr>
      <w:r>
        <w:t>高层与团队背景： 联合创始人兼董事长黄晓煌公开报道中多次代表公司发声，强调空间智能连接物理与数字世界；具体学校、专业、导师信息未披露。</w:t>
      </w:r>
    </w:p>
    <w:p>
      <w:pPr>
        <w:pStyle w:val="ListBullet"/>
      </w:pPr>
      <w:r>
        <w:t>银行关注点： 上市后资金管理、投资者关系、跨境账户、员工激励和生态客户结算需求上升，适合从上市公司综合金融和数字财资切入。</w:t>
      </w:r>
    </w:p>
    <w:p/>
    <w:p>
      <w:r>
        <w:t>推荐理由：</w:t>
      </w:r>
    </w:p>
    <w:p>
      <w:pPr>
        <w:pStyle w:val="ListBullet"/>
      </w:pPr>
      <w:r>
        <w:t>AI从二维内容走向物理空间和世界模型，群核科技的空间数据、CAD/BIM生态和家居产业客户基础具备差异化。</w:t>
      </w:r>
    </w:p>
    <w:p>
      <w:pPr>
        <w:pStyle w:val="ListBullet"/>
      </w:pPr>
      <w:r>
        <w:t>上市后需要更规范的资金和跨境管理。</w:t>
      </w:r>
    </w:p>
    <w:p/>
    <w:p>
      <w:r>
        <w:t>银行展业机会：</w:t>
      </w:r>
    </w:p>
    <w:p>
      <w:r>
        <w:t>上市公司阶段会产生募集资金管理、跨境资金、生态商户结算、员工代发和企业主财富需求。建议以数字财资切入，配套跨境资金管理、外币存款、平安薪和资本市场综合金融服务。</w:t>
      </w:r>
    </w:p>
    <w:p/>
    <w:p>
      <w:r>
        <w:t>推荐产品组合：</w:t>
      </w:r>
    </w:p>
    <w:p>
      <w:r>
        <w:t>建议以数字财资作为主推产品，解决上市后多账户、多主体和募集资金管理；配套跨境资金管理、外币存款、平安薪和资本市场融资顾问服务，具体参数待沟通。</w:t>
      </w:r>
    </w:p>
    <w:p/>
    <w:p>
      <w:r>
        <w:t>客户经理切入话术：</w:t>
      </w:r>
    </w:p>
    <w:p>
      <w:r>
        <w:t>“公司上市后，资金账户、境内外主体和员工激励管理会更复杂。我们可以先从数字财资和跨境资金管理做诊断，再评估代发和资本市场协同空间。”</w:t>
      </w:r>
    </w:p>
    <w:p/>
    <w:p>
      <w:r>
        <w:t>风险提示：</w:t>
      </w:r>
    </w:p>
    <w:p>
      <w:r>
        <w:t>港股市场波动、空间智能业务收入占比和商业化节奏需跟踪；需结合公告、财报、客户集中度和现金流进一步核实。</w:t>
      </w:r>
    </w:p>
    <w:p/>
    <w:p>
      <w:pPr>
        <w:pStyle w:val="Heading3"/>
      </w:pPr>
      <w:r>
        <w:t>企业名称：浙江天奇自动化工程股份有限公司</w:t>
      </w:r>
    </w:p>
    <w:p>
      <w:pPr>
        <w:pStyle w:val="ListBullet"/>
      </w:pPr>
      <w:r>
        <w:t>推荐等级：中</w:t>
      </w:r>
    </w:p>
    <w:p>
      <w:pPr>
        <w:pStyle w:val="ListBullet"/>
      </w:pPr>
      <w:r>
        <w:t>所属行业：智能装备/具身智能应用</w:t>
      </w:r>
    </w:p>
    <w:p>
      <w:pPr>
        <w:pStyle w:val="ListBullet"/>
      </w:pPr>
      <w:r>
        <w:t>所在地区：浙江</w:t>
      </w:r>
    </w:p>
    <w:p>
      <w:pPr>
        <w:pStyle w:val="ListBullet"/>
      </w:pPr>
      <w:r>
        <w:t>产业链位置：中游/智能装备集成</w:t>
      </w:r>
    </w:p>
    <w:p>
      <w:pPr>
        <w:pStyle w:val="ListBullet"/>
      </w:pPr>
      <w:r>
        <w:t>推荐方向：项目贷款、定增配套、供应链金融、数字财资</w:t>
      </w:r>
    </w:p>
    <w:p/>
    <w:p>
      <w:r>
        <w:t>企业关键信息：</w:t>
      </w:r>
    </w:p>
    <w:p>
      <w:pPr>
        <w:pStyle w:val="ListBullet"/>
      </w:pPr>
      <w:r>
        <w:t>基本情况： A股上市公司，主营汽车智能装备和自动化工程。iFinD公告检索显示，公司本次募投项目包括汽车装备智能制造基地和面向汽车行业应用的机器人具身智能系统研发中心。</w:t>
      </w:r>
    </w:p>
    <w:p>
      <w:pPr>
        <w:pStyle w:val="ListBullet"/>
      </w:pPr>
      <w:r>
        <w:t>高层与团队背景： 上市公司管理层公开披露较多，具体教育背景和导师信息需以公司公告及董监高资料核实。</w:t>
      </w:r>
    </w:p>
    <w:p>
      <w:pPr>
        <w:pStyle w:val="ListBullet"/>
      </w:pPr>
      <w:r>
        <w:t>银行关注点： 募投项目与智能制造、机器人具身智能结合，具备项目建设、研发投入、补充流动资金和供应链付款场景。</w:t>
      </w:r>
    </w:p>
    <w:p/>
    <w:p>
      <w:r>
        <w:t>推荐理由：</w:t>
      </w:r>
    </w:p>
    <w:p>
      <w:pPr>
        <w:pStyle w:val="ListBullet"/>
      </w:pPr>
      <w:r>
        <w:t>本周公告片段显示其定增募投围绕汽车智能装备业务展开，符合智能制造和机器人方向。</w:t>
      </w:r>
    </w:p>
    <w:p>
      <w:pPr>
        <w:pStyle w:val="ListBullet"/>
      </w:pPr>
      <w:r>
        <w:t>浙江制造业场景丰富，利于后续产业链协同。</w:t>
      </w:r>
    </w:p>
    <w:p/>
    <w:p>
      <w:r>
        <w:t>银行展业机会：</w:t>
      </w:r>
    </w:p>
    <w:p>
      <w:r>
        <w:t>募投建设会带来固定资产投入、设备采购、供应商付款和募集资金管理需求。建议以项目贷款或银团融资跟进建设资金，配套付融通、商票保贴/贴现、数字财资和债券/资本市场协同。</w:t>
      </w:r>
    </w:p>
    <w:p/>
    <w:p>
      <w:r>
        <w:t>推荐产品组合：</w:t>
      </w:r>
    </w:p>
    <w:p>
      <w:r>
        <w:t>建议以项目贷款或银团融资作为主推产品，服务智能制造基地建设；配套付融通、商票保贴、数字财资和资本市场融资服务，用于供应链付款、票据流转和募集资金管理，额度期限待沟通。</w:t>
      </w:r>
    </w:p>
    <w:p/>
    <w:p>
      <w:r>
        <w:t>客户经理切入话术：</w:t>
      </w:r>
    </w:p>
    <w:p>
      <w:r>
        <w:t>“公司募投项目和机器人具身智能系统研发中心与杭州当前产业方向高度一致，我们希望从项目建设资金、供应商付款和资金管理三个场景入手，做一版授信和结算组合方案。”</w:t>
      </w:r>
    </w:p>
    <w:p/>
    <w:p>
      <w:r>
        <w:t>风险提示：</w:t>
      </w:r>
    </w:p>
    <w:p>
      <w:r>
        <w:t>定增审批和发行进度存在不确定性；汽车装备行业受下游资本开支影响，需关注订单、毛利率、应收账款和项目回款周期。</w:t>
      </w:r>
    </w:p>
    <w:p/>
    <w:p>
      <w:pPr>
        <w:pStyle w:val="Heading3"/>
      </w:pPr>
      <w:r>
        <w:t>企业名称：杭州鹿明机器人有限公司</w:t>
      </w:r>
    </w:p>
    <w:p>
      <w:pPr>
        <w:pStyle w:val="ListBullet"/>
      </w:pPr>
      <w:r>
        <w:t>推荐等级：中</w:t>
      </w:r>
    </w:p>
    <w:p>
      <w:pPr>
        <w:pStyle w:val="ListBullet"/>
      </w:pPr>
      <w:r>
        <w:t>所属行业：具身智能/机器人整机及应用</w:t>
      </w:r>
    </w:p>
    <w:p>
      <w:pPr>
        <w:pStyle w:val="ListBullet"/>
      </w:pPr>
      <w:r>
        <w:t>所在地区：杭州富阳</w:t>
      </w:r>
    </w:p>
    <w:p>
      <w:pPr>
        <w:pStyle w:val="ListBullet"/>
      </w:pPr>
      <w:r>
        <w:t>产业链位置：中游/整机与场景应用</w:t>
      </w:r>
    </w:p>
    <w:p>
      <w:pPr>
        <w:pStyle w:val="ListBullet"/>
      </w:pPr>
      <w:r>
        <w:t>推荐方向：流动资金、供应链金融、园区金融、代发</w:t>
      </w:r>
    </w:p>
    <w:p/>
    <w:p>
      <w:r>
        <w:t>企业关键信息：</w:t>
      </w:r>
    </w:p>
    <w:p>
      <w:pPr>
        <w:pStyle w:val="ListBullet"/>
      </w:pPr>
      <w:r>
        <w:t>基本情况： 36氪富阳AI+产业大会报道显示，鹿明机器人等8家产业链上下游企业集中亮相，覆盖机器人整机及行业场景应用等方向。成立时间、股权和财务信息待核实。</w:t>
      </w:r>
    </w:p>
    <w:p>
      <w:pPr>
        <w:pStyle w:val="ListBullet"/>
      </w:pPr>
      <w:r>
        <w:t>高层与团队背景： 核心高层、教育背景、导师和职业经历公开信息不足，需拜访核实。</w:t>
      </w:r>
    </w:p>
    <w:p>
      <w:pPr>
        <w:pStyle w:val="ListBullet"/>
      </w:pPr>
      <w:r>
        <w:t>银行关注点： 富阳正在形成具身智能产业链和基金支持体系，早期企业可能有研发、试产、场景验证和上下游付款需求。</w:t>
      </w:r>
    </w:p>
    <w:p/>
    <w:p>
      <w:r>
        <w:t>推荐理由：</w:t>
      </w:r>
    </w:p>
    <w:p>
      <w:pPr>
        <w:pStyle w:val="ListBullet"/>
      </w:pPr>
      <w:r>
        <w:t>富阳发布具身智能相关基金并推动政银企资源共建，鹿明机器人作为现场亮相企业具备产业链导入信号，适合客户经理早期接触。</w:t>
      </w:r>
    </w:p>
    <w:p/>
    <w:p>
      <w:r>
        <w:t>银行展业机会：</w:t>
      </w:r>
    </w:p>
    <w:p>
      <w:r>
        <w:t>早期机器人企业通常面临样机研发、核心零部件采购、试点项目垫资、员工扩张和园区结算需求。建议以普惠金融科创贷或场景化方案试探，配套订单融资、银票贴现、平安薪和口袋管家。</w:t>
      </w:r>
    </w:p>
    <w:p/>
    <w:p>
      <w:r>
        <w:t>推荐产品组合：</w:t>
      </w:r>
    </w:p>
    <w:p>
      <w:r>
        <w:t>建议以普惠金融科创贷作为主推产品，支持研发和试产周转；配套订单融资、银票贴现、平安薪和口袋管家，用于订单交付、员工扩张和内部管理，具体额度、期限、费率待沟通。</w:t>
      </w:r>
    </w:p>
    <w:p/>
    <w:p>
      <w:r>
        <w:t>客户经理切入话术：</w:t>
      </w:r>
    </w:p>
    <w:p>
      <w:r>
        <w:t>“富阳正在集中搭建具身智能产业生态，我们想先了解贵司当前样机、订单和供应商付款节奏，看是否能从科创贷和订单融资做一个轻量授信方案。”</w:t>
      </w:r>
    </w:p>
    <w:p/>
    <w:p>
      <w:r>
        <w:t>风险提示：</w:t>
      </w:r>
    </w:p>
    <w:p>
      <w:r>
        <w:t>公开信息有限，需重点核实工商、股东、订单、技术路线、客户集中度、资产负债和现金流。</w:t>
      </w:r>
    </w:p>
    <w:p/>
    <w:p>
      <w:pPr>
        <w:pStyle w:val="Heading2"/>
      </w:pPr>
      <w:r>
        <w:t>四、客户经理行动建议</w:t>
      </w:r>
    </w:p>
    <w:p>
      <w:r>
        <w:t>1. 优先拜访杭州宇树科技、DeepSeek和群核科技，切入点分别是中试基地量产、算力研发投入、上市后资金管理。</w:t>
      </w:r>
    </w:p>
    <w:p>
      <w:r>
        <w:t>2. 对浙江天奇自动化跟进定增募投与智能制造基地建设，联动公司金融、投行和供应链金融产品经理准备项目贷款、票据和付融通方案。</w:t>
      </w:r>
    </w:p>
    <w:p>
      <w:r>
        <w:t>3. 对富阳具身智能产业链企业开展园区批量扫客，先从鹿明机器人、杭州具身风暴、原力无限等现场亮相企业建立名单，核实订单、股东和供应商。</w:t>
      </w:r>
    </w:p>
    <w:p>
      <w:r>
        <w:t>4. 围绕算力硬件链筛选浙江本地服务器、连接器、PCB、光模块、数据中心服务商，重点询问设备采购、备货和应收账款周期。</w:t>
      </w:r>
    </w:p>
    <w:p>
      <w:r>
        <w:t>5. 内部准备“科创贷 + 设备融资/平安租赁 + 订单融资/付融通 + 数字财资”的标准组合，先做轻量诊断，再按企业成熟度配置授信和结算方案。</w:t>
      </w:r>
    </w:p>
    <w:p/>
    <w:p>
      <w:pPr>
        <w:pStyle w:val="Heading2"/>
      </w:pPr>
      <w:r>
        <w:t>资料来源</w:t>
      </w:r>
    </w:p>
    <w:p>
      <w:r>
        <w:t>同花顺首页、财联社电报、新华网科技、经济观察网、机器之心、量子位、36氪AI频道、SearXNG/Brave搜索、iFinD新闻与公告检索、中新网、新浪财经、36氪公开报道，以及平安银行本地产品资料。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