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华文楷体" w:hAnsi="华文楷体" w:eastAsia="华文楷体"/>
          <w:b/>
          <w:sz w:val="24"/>
        </w:rPr>
        <w:t>人工智能行业商机双周报</w:t>
      </w:r>
    </w:p>
    <w:p>
      <w:pPr>
        <w:pStyle w:val="Heading2"/>
      </w:pPr>
      <w:r>
        <w:rPr>
          <w:rFonts w:ascii="华文楷体" w:hAnsi="华文楷体" w:eastAsia="华文楷体"/>
          <w:b/>
          <w:sz w:val="24"/>
        </w:rPr>
        <w:t>一、行业动态与发展总结</w:t>
      </w:r>
    </w:p>
    <w:p>
      <w:pPr>
        <w:spacing w:before="0" w:after="80"/>
      </w:pPr>
      <w:r>
        <w:rPr>
          <w:rFonts w:ascii="华文楷体" w:hAnsi="华文楷体" w:eastAsia="华文楷体"/>
          <w:b w:val="0"/>
          <w:sz w:val="24"/>
        </w:rPr>
        <w:t>本周全国层面最重要的政策信号有三条。一是市场监管总局、国家发展改革委联合布局人工智能计量体系和能力建设；二是国家发改委、国家能源局等四部门发布《关于促进人工智能与能源双向赋能的行动方案》，提出到2027年构建安全绿色的能源保障体系、2030年实现AI算力清洁能源供给全球领先，并发布51个"人工智能+"能源高价值场景；三是"十五五"期间法院将完善AI生成物裁判规则。政策重点从"有没有模型、有没有算力"转向"模型测得准、数据管得住、结果可验证"，AI拟人化互动、生成式内容标识、智能体安全等监管议题延续升温。对大模型、具身智能和AIGC企业而言，竞争门槛正从单纯参数和融资故事转向可交付、可验收、可合规。国家层面继续把人工智能放在新质生产力、未来产业和制造业智能化改造的核心位置，具身智能、工业大模型、算力网络、光通信和端侧AI芯片是两周信息源中反复出现的方向。政府支持重点是"模型+数据+场景+硬件+测试验证"的完整闭环，能把AI嵌入制造、能源、交通、医疗、设计、安防和机器人场景的企业更容易形成项目订单和可融资资产。</w:t>
      </w:r>
    </w:p>
    <w:p>
      <w:pPr>
        <w:spacing w:before="0" w:after="80"/>
      </w:pPr>
      <w:r>
        <w:rPr>
          <w:rFonts w:ascii="华文楷体" w:hAnsi="华文楷体" w:eastAsia="华文楷体"/>
          <w:b w:val="0"/>
          <w:sz w:val="24"/>
        </w:rPr>
        <w:t>行业整体处于高景气但快速分化阶段。基础模型进入资本与商业模式再定价期，Anthropic完成650亿美元融资、估值达9650亿美元，Palantir季度营收增长85%至16.33亿美元，说明AI正从主题炒作转向产业主线；具身智能和机器人从样机展示进入中试验证和供应链协同阶段；算力基础设施爆发式增长，戴尔AI服务器季度营收达161亿美元、同比增长757%，积压订单超510亿美元，浪潮信息2025年营收1647.82亿元、同比增长43.25%，光模块、PCB、液冷等配套环节同步受益。银行应优先关注三类客户：已有订单和交付场景的AI硬件及机器人企业、能嵌入制造业流程的软件平台和行业模型企业、AI产业链中的光通信/传感器/测试设备供应商。需警惕模型企业现金消耗快、硬件企业库存和应收上升、To G/To B项目回款周期较长等风险。</w:t>
      </w:r>
    </w:p>
    <w:p>
      <w:pPr>
        <w:pStyle w:val="Heading2"/>
      </w:pPr>
      <w:r>
        <w:rPr>
          <w:rFonts w:ascii="华文楷体" w:hAnsi="华文楷体" w:eastAsia="华文楷体"/>
          <w:b/>
          <w:sz w:val="24"/>
        </w:rPr>
        <w:t>二、浙江地区动态与区域机会</w:t>
      </w:r>
    </w:p>
    <w:p>
      <w:pPr>
        <w:pStyle w:val="Heading3"/>
      </w:pPr>
      <w:r>
        <w:rPr>
          <w:rFonts w:ascii="华文楷体" w:hAnsi="华文楷体" w:eastAsia="华文楷体"/>
          <w:b/>
          <w:sz w:val="24"/>
        </w:rPr>
        <w:t>1. 浙江政策与政府规划</w:t>
      </w:r>
    </w:p>
    <w:p>
      <w:pPr>
        <w:spacing w:before="0" w:after="80"/>
      </w:pPr>
      <w:r>
        <w:rPr>
          <w:rFonts w:ascii="华文楷体" w:hAnsi="华文楷体" w:eastAsia="华文楷体"/>
          <w:b w:val="0"/>
          <w:sz w:val="24"/>
        </w:rPr>
        <w:t>两周浙江最强信号是杭州连续落地两大国家级AI平台：5月16日国家人工智能应用中试基地（具身智能）在杭州滨江揭牌，5月23-24日2026全球人工智能技术大会在杭州余杭举办，国家级AI关键应用产业知识产权运营中心同步揭牌。该基地面向具身智能，承担机器人测试验证、场景训练、生态共建和产业化衔接功能，公开信息显示已有百台级机器人进入基地。杭州已出台全国首部聚焦具身智能机器人的地方性法规，具身智能产业集群2025年产值达1068亿元。富阳发布总规模约10亿元的杭州人工智能具身机器人科技基金等多支产业基金。宁波方向则强调"人工智能+制造"全场景开放创新，叠加宁波制造业基础和数据要素，有利于工业AI、机器视觉和智能装备落地。</w:t>
      </w:r>
    </w:p>
    <w:p>
      <w:pPr>
        <w:pStyle w:val="Heading3"/>
      </w:pPr>
      <w:r>
        <w:rPr>
          <w:rFonts w:ascii="华文楷体" w:hAnsi="华文楷体" w:eastAsia="华文楷体"/>
          <w:b/>
          <w:sz w:val="24"/>
        </w:rPr>
        <w:t>2. 浙江重点产业与区域机会</w:t>
      </w:r>
    </w:p>
    <w:p>
      <w:pPr>
        <w:spacing w:before="0" w:after="80"/>
      </w:pPr>
      <w:r>
        <w:rPr>
          <w:rFonts w:ascii="华文楷体" w:hAnsi="华文楷体" w:eastAsia="华文楷体"/>
          <w:b w:val="0"/>
          <w:sz w:val="24"/>
        </w:rPr>
        <w:t>浙江AI机会集中在杭州余杭、滨江、富阳和宁波四条线。余杭适合跟进大模型、AI应用、知识产权运营和创新创业项目；滨江适合跟进具身智能中试、机器人整机、算法平台和核心传感企业；富阳适合跟进具身智能产业链上下游，包括电机、智能控制、整机和安防消防等场景应用；宁波适合扫AI+制造、工业视觉、智能装备和化工/港口/外贸场景解决方案。结合"415X"先进制造业集群，AI不是独立赛道，而是赋能高端装备、智能物联、汽车零部件、绿色石化和数字经济的横向能力。客户经理应重点关注杭州AI生态中的链主和平台企业（带动上下游批量获客），以及浙江制造业中的AI改造受益企业（融资需求来自设备更新、项目交付、账期拉长和出口结算）。</w:t>
      </w:r>
    </w:p>
    <w:p>
      <w:pPr>
        <w:spacing w:before="0" w:after="80"/>
      </w:pPr>
      <w:r>
        <w:rPr>
          <w:rFonts w:ascii="华文楷体" w:hAnsi="华文楷体" w:eastAsia="华文楷体"/>
          <w:b w:val="0"/>
          <w:sz w:val="24"/>
        </w:rPr>
        <w:t>此外，智能养老市场预计2026年突破百亿元，养老机器人向家庭场景轻量化演进，杭州、宁波等地养老机构和科技企业存在AI+养老场景的合作空间。</w:t>
      </w:r>
    </w:p>
    <w:p>
      <w:pPr>
        <w:pStyle w:val="Heading3"/>
      </w:pPr>
      <w:r>
        <w:rPr>
          <w:rFonts w:ascii="华文楷体" w:hAnsi="华文楷体" w:eastAsia="华文楷体"/>
          <w:b/>
          <w:sz w:val="24"/>
        </w:rPr>
        <w:t>3. 浙江上下游产业链动态</w:t>
      </w:r>
    </w:p>
    <w:p>
      <w:pPr>
        <w:spacing w:before="0" w:after="80"/>
      </w:pPr>
      <w:r>
        <w:rPr>
          <w:rFonts w:ascii="华文楷体" w:hAnsi="华文楷体" w:eastAsia="华文楷体"/>
          <w:b w:val="0"/>
          <w:sz w:val="24"/>
        </w:rPr>
        <w:t>杭州具身智能产业链包括基础模型、机器人本体、伺服与传感器、边缘算力、测试验证、应用场景和渠道交付。国家级中试基地启用后，整机企业会更频繁进行测试、采购和小批量交付，供应商端可能出现账期和备货资金需求。浙江智能物联和机器视觉企业连接制造业、安防、交通、能源和海外客户，AI项目交付伴随硬件采购、软件开发、验收回款和质保周期，应收账款管理、票据贴现、保理和跨境结算值得前置沟通。</w:t>
      </w:r>
    </w:p>
    <w:p>
      <w:pPr>
        <w:pStyle w:val="Heading3"/>
      </w:pPr>
      <w:r>
        <w:rPr>
          <w:rFonts w:ascii="华文楷体" w:hAnsi="华文楷体" w:eastAsia="华文楷体"/>
          <w:b/>
          <w:sz w:val="24"/>
        </w:rPr>
        <w:t>4. 银行展业机会</w:t>
      </w:r>
    </w:p>
    <w:p>
      <w:pPr>
        <w:pStyle w:val="ListBullet"/>
        <w:spacing w:before="40" w:after="80"/>
      </w:pPr>
      <w:r>
        <w:rPr>
          <w:rFonts w:ascii="华文楷体" w:hAnsi="华文楷体" w:eastAsia="华文楷体"/>
          <w:b w:val="0"/>
          <w:sz w:val="24"/>
        </w:rPr>
        <w:t>围绕杭州具身智能中试基地，优先拜访机器人整机、伺服、传感器、边缘算力和测试设备企业，切入平安租赁、科创贷、订单融资和付融通。</w:t>
      </w:r>
    </w:p>
    <w:p>
      <w:pPr>
        <w:pStyle w:val="ListBullet"/>
        <w:spacing w:before="40" w:after="80"/>
      </w:pPr>
      <w:r>
        <w:rPr>
          <w:rFonts w:ascii="华文楷体" w:hAnsi="华文楷体" w:eastAsia="华文楷体"/>
          <w:b w:val="0"/>
          <w:sz w:val="24"/>
        </w:rPr>
        <w:t>围绕基础模型和AI软件平台，重点聊算力采购、研发费用、SaaS回款和多账户管理，切入普惠金融科创贷、数字财资、资产池和平安薪。</w:t>
      </w:r>
    </w:p>
    <w:p>
      <w:pPr>
        <w:pStyle w:val="ListBullet"/>
        <w:spacing w:before="40" w:after="80"/>
      </w:pPr>
      <w:r>
        <w:rPr>
          <w:rFonts w:ascii="华文楷体" w:hAnsi="华文楷体" w:eastAsia="华文楷体"/>
          <w:b w:val="0"/>
          <w:sz w:val="24"/>
        </w:rPr>
        <w:t>围绕智能物联和机器视觉链主企业，做核心企业供应链金融，批量触达供应商和经销商，切入商票保贴、商票e贴、银票无感贴现和付融通。</w:t>
      </w:r>
    </w:p>
    <w:p>
      <w:pPr>
        <w:pStyle w:val="ListBullet"/>
        <w:spacing w:before="40" w:after="80"/>
      </w:pPr>
      <w:r>
        <w:rPr>
          <w:rFonts w:ascii="华文楷体" w:hAnsi="华文楷体" w:eastAsia="华文楷体"/>
          <w:b w:val="0"/>
          <w:sz w:val="24"/>
        </w:rPr>
        <w:t>围绕富阳具身智能基金和产业链项目，对园区企业批量扫客，从科创贷、订单融资和票据贴现开始建立关系。</w:t>
      </w:r>
    </w:p>
    <w:p>
      <w:pPr>
        <w:pStyle w:val="ListBullet"/>
        <w:spacing w:before="40" w:after="80"/>
      </w:pPr>
      <w:r>
        <w:rPr>
          <w:rFonts w:ascii="华文楷体" w:hAnsi="华文楷体" w:eastAsia="华文楷体"/>
          <w:b w:val="0"/>
          <w:sz w:val="24"/>
        </w:rPr>
        <w:t>围绕AI硬件出海和海外客户回款，配置跨境支付结算、外币存款、跨境资金管理、新银关通和平安避险。</w:t>
      </w:r>
    </w:p>
    <w:p>
      <w:pPr>
        <w:pStyle w:val="Heading2"/>
      </w:pPr>
      <w:r>
        <w:rPr>
          <w:rFonts w:ascii="华文楷体" w:hAnsi="华文楷体" w:eastAsia="华文楷体"/>
          <w:b/>
          <w:sz w:val="24"/>
        </w:rPr>
        <w:t>三、重点企业推荐</w:t>
      </w:r>
    </w:p>
    <w:p>
      <w:pPr>
        <w:pStyle w:val="Heading3"/>
      </w:pPr>
      <w:r>
        <w:rPr>
          <w:rFonts w:ascii="华文楷体" w:hAnsi="华文楷体" w:eastAsia="华文楷体"/>
          <w:b/>
          <w:sz w:val="24"/>
        </w:rPr>
        <w:t>企业名称：杭州云深处科技有限公司</w:t>
      </w:r>
    </w:p>
    <w:p>
      <w:pPr>
        <w:pStyle w:val="ListBullet"/>
        <w:spacing w:before="40" w:after="80"/>
      </w:pPr>
      <w:r>
        <w:rPr>
          <w:rFonts w:ascii="华文楷体" w:hAnsi="华文楷体" w:eastAsia="华文楷体"/>
          <w:b w:val="0"/>
          <w:sz w:val="24"/>
        </w:rPr>
        <w:t>推荐等级： 高</w:t>
      </w:r>
    </w:p>
    <w:p>
      <w:pPr>
        <w:pStyle w:val="ListBullet"/>
        <w:spacing w:before="40" w:after="80"/>
      </w:pPr>
      <w:r>
        <w:rPr>
          <w:rFonts w:ascii="华文楷体" w:hAnsi="华文楷体" w:eastAsia="华文楷体"/>
          <w:b w:val="0"/>
          <w:sz w:val="24"/>
        </w:rPr>
        <w:t>所属行业： 具身智能/四足机器人</w:t>
      </w:r>
    </w:p>
    <w:p>
      <w:pPr>
        <w:pStyle w:val="ListBullet"/>
        <w:spacing w:before="40" w:after="80"/>
      </w:pPr>
      <w:r>
        <w:rPr>
          <w:rFonts w:ascii="华文楷体" w:hAnsi="华文楷体" w:eastAsia="华文楷体"/>
          <w:b w:val="0"/>
          <w:sz w:val="24"/>
        </w:rPr>
        <w:t>所在地区： 杭州</w:t>
      </w:r>
    </w:p>
    <w:p>
      <w:pPr>
        <w:pStyle w:val="ListBullet"/>
        <w:spacing w:before="40" w:after="80"/>
      </w:pPr>
      <w:r>
        <w:rPr>
          <w:rFonts w:ascii="华文楷体" w:hAnsi="华文楷体" w:eastAsia="华文楷体"/>
          <w:b w:val="0"/>
          <w:sz w:val="24"/>
        </w:rPr>
        <w:t>产业链位置： 中游/整机与解决方案</w:t>
      </w:r>
    </w:p>
    <w:p>
      <w:pPr>
        <w:pStyle w:val="ListBullet"/>
        <w:spacing w:before="40" w:after="80"/>
      </w:pPr>
      <w:r>
        <w:rPr>
          <w:rFonts w:ascii="华文楷体" w:hAnsi="华文楷体" w:eastAsia="华文楷体"/>
          <w:b w:val="0"/>
          <w:sz w:val="24"/>
        </w:rPr>
        <w:t>推荐方向： 资本市场协同/设备融资/供应链金融/跨境结算</w:t>
      </w:r>
    </w:p>
    <w:p>
      <w:pPr>
        <w:spacing w:before="160" w:after="80"/>
      </w:pPr>
      <w:r>
        <w:rPr>
          <w:rFonts w:ascii="华文楷体" w:hAnsi="华文楷体" w:eastAsia="华文楷体"/>
          <w:b/>
          <w:sz w:val="24"/>
        </w:rPr>
        <w:t>企业关键信息：</w:t>
      </w:r>
    </w:p>
    <w:p>
      <w:pPr>
        <w:pStyle w:val="ListBullet"/>
        <w:spacing w:before="40" w:after="80"/>
      </w:pPr>
      <w:r>
        <w:rPr>
          <w:rFonts w:ascii="华文楷体" w:hAnsi="华文楷体" w:eastAsia="华文楷体"/>
          <w:b w:val="0"/>
          <w:sz w:val="24"/>
        </w:rPr>
        <w:t>基本情况： 主营四足机器人，产品覆盖电力巡检、应急救援、工业巡检等场景，端侧出货量全球第一；2025年12月完成超5亿元C轮融资（招银国际和华夏基金联合领投），2026年5月正式完成A股IPO辅导，拟登陆科创板，估值突破百亿元。</w:t>
      </w:r>
    </w:p>
    <w:p>
      <w:pPr>
        <w:pStyle w:val="ListBullet"/>
        <w:spacing w:before="40" w:after="80"/>
      </w:pPr>
      <w:r>
        <w:rPr>
          <w:rFonts w:ascii="华文楷体" w:hAnsi="华文楷体" w:eastAsia="华文楷体"/>
          <w:b w:val="0"/>
          <w:sz w:val="24"/>
        </w:rPr>
        <w:t>高层与团队背景： 创始人朱秋国公开信息显示毕业于浙江大学，师从熊蓉教授，长期从事机器人导航控制和四足机器人研发；团队承担多项国家级、省部级科研项目，拥有专利150余项。</w:t>
      </w:r>
    </w:p>
    <w:p>
      <w:pPr>
        <w:pStyle w:val="ListBullet"/>
        <w:spacing w:before="40" w:after="80"/>
      </w:pPr>
      <w:r>
        <w:rPr>
          <w:rFonts w:ascii="华文楷体" w:hAnsi="华文楷体" w:eastAsia="华文楷体"/>
          <w:b w:val="0"/>
          <w:sz w:val="24"/>
        </w:rPr>
        <w:t>银行关注点： IPO辅导期是建立关系的最佳窗口，上市前需要募集资金管理、员工持股计划和财务规范化，上市后需要综合金融服务。</w:t>
      </w:r>
    </w:p>
    <w:p>
      <w:pPr>
        <w:spacing w:before="160" w:after="80"/>
      </w:pPr>
      <w:r>
        <w:rPr>
          <w:rFonts w:ascii="华文楷体" w:hAnsi="华文楷体" w:eastAsia="华文楷体"/>
          <w:b/>
          <w:sz w:val="24"/>
        </w:rPr>
        <w:t>推荐理由：</w:t>
      </w:r>
    </w:p>
    <w:p>
      <w:pPr>
        <w:pStyle w:val="ListBullet"/>
        <w:spacing w:before="40" w:after="80"/>
      </w:pPr>
      <w:r>
        <w:rPr>
          <w:rFonts w:ascii="华文楷体" w:hAnsi="华文楷体" w:eastAsia="华文楷体"/>
          <w:b w:val="0"/>
          <w:sz w:val="24"/>
        </w:rPr>
        <w:t>5月完成A股IPO辅导，是继群核科技、宇树之后杭州AI六小龙第三家启动上市的企业。</w:t>
      </w:r>
    </w:p>
    <w:p>
      <w:pPr>
        <w:pStyle w:val="ListBullet"/>
        <w:spacing w:before="40" w:after="80"/>
      </w:pPr>
      <w:r>
        <w:rPr>
          <w:rFonts w:ascii="华文楷体" w:hAnsi="华文楷体" w:eastAsia="华文楷体"/>
          <w:b w:val="0"/>
          <w:sz w:val="24"/>
        </w:rPr>
        <w:t>四足机器人行业端出货量全球第一，电力巡检和应急救援场景已实现规模化落地，订单可见度高。</w:t>
      </w:r>
    </w:p>
    <w:p>
      <w:pPr>
        <w:pStyle w:val="ListBullet"/>
        <w:spacing w:before="40" w:after="80"/>
      </w:pPr>
      <w:r>
        <w:rPr>
          <w:rFonts w:ascii="华文楷体" w:hAnsi="华文楷体" w:eastAsia="华文楷体"/>
          <w:b w:val="0"/>
          <w:sz w:val="24"/>
        </w:rPr>
        <w:t>中试基地启用后，云深处作为滨江本地企业可进一步接入测试和场景验证资源。</w:t>
      </w:r>
    </w:p>
    <w:p>
      <w:pPr>
        <w:spacing w:before="160" w:after="80"/>
      </w:pPr>
      <w:r>
        <w:rPr>
          <w:rFonts w:ascii="华文楷体" w:hAnsi="华文楷体" w:eastAsia="华文楷体"/>
          <w:b/>
          <w:sz w:val="24"/>
        </w:rPr>
        <w:t>银行展业机会：</w:t>
      </w:r>
    </w:p>
    <w:p>
      <w:pPr>
        <w:spacing w:before="0" w:after="80"/>
      </w:pPr>
      <w:r>
        <w:rPr>
          <w:rFonts w:ascii="华文楷体" w:hAnsi="华文楷体" w:eastAsia="华文楷体"/>
          <w:b w:val="0"/>
          <w:sz w:val="24"/>
        </w:rPr>
        <w:t>结合云深处5月正式完成IPO辅导这一节点，建议在上市准备期切入募集资金监管账户开立、员工持股计划资金管理和财务规范化咨询；上市后可提供资本市场综合服务。同时，公司在电力巡检和应急救援场景的规模化交付会带来供应商采购备货和应收账款周转需求，可配套订单融资、银票贴现和付融通，额度、期限、费率待沟通。</w:t>
      </w:r>
    </w:p>
    <w:p>
      <w:pPr>
        <w:spacing w:before="160" w:after="80"/>
      </w:pPr>
      <w:r>
        <w:rPr>
          <w:rFonts w:ascii="华文楷体" w:hAnsi="华文楷体" w:eastAsia="华文楷体"/>
          <w:b/>
          <w:sz w:val="24"/>
        </w:rPr>
        <w:t>推荐产品组合：</w:t>
      </w:r>
    </w:p>
    <w:p>
      <w:pPr>
        <w:spacing w:before="0" w:after="80"/>
      </w:pPr>
      <w:r>
        <w:rPr>
          <w:rFonts w:ascii="华文楷体" w:hAnsi="华文楷体" w:eastAsia="华文楷体"/>
          <w:b w:val="0"/>
          <w:sz w:val="24"/>
        </w:rPr>
        <w:t>建议以募集资金监管和资本市场综合服务作为主推方向；配套订单融资、银票贴现和数字财资，服务规模化交付期的供应商付款、订单备货和多账户管理，额度、期限、费率待沟通。</w:t>
      </w:r>
    </w:p>
    <w:p>
      <w:pPr>
        <w:spacing w:before="160" w:after="80"/>
      </w:pPr>
      <w:r>
        <w:rPr>
          <w:rFonts w:ascii="华文楷体" w:hAnsi="华文楷体" w:eastAsia="华文楷体"/>
          <w:b/>
          <w:sz w:val="24"/>
        </w:rPr>
        <w:t>风险提示：</w:t>
      </w:r>
    </w:p>
    <w:p>
      <w:pPr>
        <w:spacing w:before="0" w:after="80"/>
      </w:pPr>
      <w:r>
        <w:rPr>
          <w:rFonts w:ascii="华文楷体" w:hAnsi="华文楷体" w:eastAsia="华文楷体"/>
          <w:b w:val="0"/>
          <w:sz w:val="24"/>
        </w:rPr>
        <w:t>IPO审核进度存在不确定性；四足机器人赛道竞争加剧，需关注订单持续性、毛利率变化和核心零部件依赖度。</w:t>
      </w:r>
    </w:p>
    <w:p>
      <w:pPr>
        <w:pStyle w:val="Heading3"/>
      </w:pPr>
      <w:r>
        <w:rPr>
          <w:rFonts w:ascii="华文楷体" w:hAnsi="华文楷体" w:eastAsia="华文楷体"/>
          <w:b/>
          <w:sz w:val="24"/>
        </w:rPr>
        <w:t>企业名称：浙江人形机器人创新中心有限公司</w:t>
      </w:r>
    </w:p>
    <w:p>
      <w:pPr>
        <w:pStyle w:val="ListBullet"/>
        <w:spacing w:before="40" w:after="80"/>
      </w:pPr>
      <w:r>
        <w:rPr>
          <w:rFonts w:ascii="华文楷体" w:hAnsi="华文楷体" w:eastAsia="华文楷体"/>
          <w:b w:val="0"/>
          <w:sz w:val="24"/>
        </w:rPr>
        <w:t>推荐等级： 高</w:t>
      </w:r>
    </w:p>
    <w:p>
      <w:pPr>
        <w:pStyle w:val="ListBullet"/>
        <w:spacing w:before="40" w:after="80"/>
      </w:pPr>
      <w:r>
        <w:rPr>
          <w:rFonts w:ascii="华文楷体" w:hAnsi="华文楷体" w:eastAsia="华文楷体"/>
          <w:b w:val="0"/>
          <w:sz w:val="24"/>
        </w:rPr>
        <w:t>所属行业： 具身智能/人形机器人</w:t>
      </w:r>
    </w:p>
    <w:p>
      <w:pPr>
        <w:pStyle w:val="ListBullet"/>
        <w:spacing w:before="40" w:after="80"/>
      </w:pPr>
      <w:r>
        <w:rPr>
          <w:rFonts w:ascii="华文楷体" w:hAnsi="华文楷体" w:eastAsia="华文楷体"/>
          <w:b w:val="0"/>
          <w:sz w:val="24"/>
        </w:rPr>
        <w:t>所在地区： 杭州/宁波</w:t>
      </w:r>
    </w:p>
    <w:p>
      <w:pPr>
        <w:pStyle w:val="ListBullet"/>
        <w:spacing w:before="40" w:after="80"/>
      </w:pPr>
      <w:r>
        <w:rPr>
          <w:rFonts w:ascii="华文楷体" w:hAnsi="华文楷体" w:eastAsia="华文楷体"/>
          <w:b w:val="0"/>
          <w:sz w:val="24"/>
        </w:rPr>
        <w:t>产业链位置： 平台型/研发与整机</w:t>
      </w:r>
    </w:p>
    <w:p>
      <w:pPr>
        <w:pStyle w:val="ListBullet"/>
        <w:spacing w:before="40" w:after="80"/>
      </w:pPr>
      <w:r>
        <w:rPr>
          <w:rFonts w:ascii="华文楷体" w:hAnsi="华文楷体" w:eastAsia="华文楷体"/>
          <w:b w:val="0"/>
          <w:sz w:val="24"/>
        </w:rPr>
        <w:t>推荐方向： 研发运营/设备融资/现金管理/供应链金融</w:t>
      </w:r>
    </w:p>
    <w:p>
      <w:pPr>
        <w:spacing w:before="160" w:after="80"/>
      </w:pPr>
      <w:r>
        <w:rPr>
          <w:rFonts w:ascii="华文楷体" w:hAnsi="华文楷体" w:eastAsia="华文楷体"/>
          <w:b/>
          <w:sz w:val="24"/>
        </w:rPr>
        <w:t>企业关键信息：</w:t>
      </w:r>
    </w:p>
    <w:p>
      <w:pPr>
        <w:pStyle w:val="ListBullet"/>
        <w:spacing w:before="40" w:after="80"/>
      </w:pPr>
      <w:r>
        <w:rPr>
          <w:rFonts w:ascii="华文楷体" w:hAnsi="华文楷体" w:eastAsia="华文楷体"/>
          <w:b w:val="0"/>
          <w:sz w:val="24"/>
        </w:rPr>
        <w:t>基本情况： 由中控技术作为单一最大股东入股设立，累计募资22亿元，推出"领航者1号"和"领航者2号"两代人形机器人产品，正在推动量产。</w:t>
      </w:r>
    </w:p>
    <w:p>
      <w:pPr>
        <w:pStyle w:val="ListBullet"/>
        <w:spacing w:before="40" w:after="80"/>
      </w:pPr>
      <w:r>
        <w:rPr>
          <w:rFonts w:ascii="华文楷体" w:hAnsi="华文楷体" w:eastAsia="华文楷体"/>
          <w:b w:val="0"/>
          <w:sz w:val="24"/>
        </w:rPr>
        <w:t>高层与团队背景： 核心团队与浙江大学、中控技术关系密切，中控技术创始人褚健在创新中心落地过程中发挥关键作用；具体高管履历待核实。</w:t>
      </w:r>
    </w:p>
    <w:p>
      <w:pPr>
        <w:pStyle w:val="ListBullet"/>
        <w:spacing w:before="40" w:after="80"/>
      </w:pPr>
      <w:r>
        <w:rPr>
          <w:rFonts w:ascii="华文楷体" w:hAnsi="华文楷体" w:eastAsia="华文楷体"/>
          <w:b w:val="0"/>
          <w:sz w:val="24"/>
        </w:rPr>
        <w:t>银行关注点： 股东阵容豪华（中控技术、联想创投、招商创科、浙江省创投集团、宁波金控等），累计募资22亿元说明资本高度认可，资金管理和设备投入需求明确。</w:t>
      </w:r>
    </w:p>
    <w:p>
      <w:pPr>
        <w:spacing w:before="160" w:after="80"/>
      </w:pPr>
      <w:r>
        <w:rPr>
          <w:rFonts w:ascii="华文楷体" w:hAnsi="华文楷体" w:eastAsia="华文楷体"/>
          <w:b/>
          <w:sz w:val="24"/>
        </w:rPr>
        <w:t>推荐理由：</w:t>
      </w:r>
    </w:p>
    <w:p>
      <w:pPr>
        <w:pStyle w:val="ListBullet"/>
        <w:spacing w:before="40" w:after="80"/>
      </w:pPr>
      <w:r>
        <w:rPr>
          <w:rFonts w:ascii="华文楷体" w:hAnsi="华文楷体" w:eastAsia="华文楷体"/>
          <w:b w:val="0"/>
          <w:sz w:val="24"/>
        </w:rPr>
        <w:t>累计募资22亿元，是当前国内人形机器人赛道融资规模最大的企业之一。</w:t>
      </w:r>
    </w:p>
    <w:p>
      <w:pPr>
        <w:pStyle w:val="ListBullet"/>
        <w:spacing w:before="40" w:after="80"/>
      </w:pPr>
      <w:r>
        <w:rPr>
          <w:rFonts w:ascii="华文楷体" w:hAnsi="华文楷体" w:eastAsia="华文楷体"/>
          <w:b w:val="0"/>
          <w:sz w:val="24"/>
        </w:rPr>
        <w:t>国家级中试基地落地杭州后，浙江人形作为省内重点平台有望优先接入测试验证资源。</w:t>
      </w:r>
    </w:p>
    <w:p>
      <w:pPr>
        <w:pStyle w:val="ListBullet"/>
        <w:spacing w:before="40" w:after="80"/>
      </w:pPr>
      <w:r>
        <w:rPr>
          <w:rFonts w:ascii="华文楷体" w:hAnsi="华文楷体" w:eastAsia="华文楷体"/>
          <w:b w:val="0"/>
          <w:sz w:val="24"/>
        </w:rPr>
        <w:t>股东涵盖产业资本、政府基金和市场化资本，后续扩产和设备投入资金需求明确。</w:t>
      </w:r>
    </w:p>
    <w:p>
      <w:pPr>
        <w:spacing w:before="160" w:after="80"/>
      </w:pPr>
      <w:r>
        <w:rPr>
          <w:rFonts w:ascii="华文楷体" w:hAnsi="华文楷体" w:eastAsia="华文楷体"/>
          <w:b/>
          <w:sz w:val="24"/>
        </w:rPr>
        <w:t>银行展业机会：</w:t>
      </w:r>
    </w:p>
    <w:p>
      <w:pPr>
        <w:spacing w:before="0" w:after="80"/>
      </w:pPr>
      <w:r>
        <w:rPr>
          <w:rFonts w:ascii="华文楷体" w:hAnsi="华文楷体" w:eastAsia="华文楷体"/>
          <w:b w:val="0"/>
          <w:sz w:val="24"/>
        </w:rPr>
        <w:t>浙江人形累计募资22亿元，当前正推进人形机器人量产，金融需求集中在研发流动资金、产线设备投入和供应商采购备货。建议以科技创新和技术更新改造再贷款或设备融资切入量产线建设；配套数字财资管理多笔募集资金、订单融资服务场景交付期周转、付融通应对供应商付款节奏。额度、期限、费率待沟通。</w:t>
      </w:r>
    </w:p>
    <w:p>
      <w:pPr>
        <w:spacing w:before="160" w:after="80"/>
      </w:pPr>
      <w:r>
        <w:rPr>
          <w:rFonts w:ascii="华文楷体" w:hAnsi="华文楷体" w:eastAsia="华文楷体"/>
          <w:b/>
          <w:sz w:val="24"/>
        </w:rPr>
        <w:t>推荐产品组合：</w:t>
      </w:r>
    </w:p>
    <w:p>
      <w:pPr>
        <w:spacing w:before="0" w:after="80"/>
      </w:pPr>
      <w:r>
        <w:rPr>
          <w:rFonts w:ascii="华文楷体" w:hAnsi="华文楷体" w:eastAsia="华文楷体"/>
          <w:b w:val="0"/>
          <w:sz w:val="24"/>
        </w:rPr>
        <w:t>建议以科技创新和技术更新改造再贷款或设备融资切入量产线建设；配套数字财资、订单融资和付融通，服务募集资金管理和供应链周转，额度、期限、费率待沟通。</w:t>
      </w:r>
    </w:p>
    <w:p>
      <w:pPr>
        <w:spacing w:before="160" w:after="80"/>
      </w:pPr>
      <w:r>
        <w:rPr>
          <w:rFonts w:ascii="华文楷体" w:hAnsi="华文楷体" w:eastAsia="华文楷体"/>
          <w:b/>
          <w:sz w:val="24"/>
        </w:rPr>
        <w:t>风险提示：</w:t>
      </w:r>
    </w:p>
    <w:p>
      <w:pPr>
        <w:spacing w:before="0" w:after="80"/>
      </w:pPr>
      <w:r>
        <w:rPr>
          <w:rFonts w:ascii="华文楷体" w:hAnsi="华文楷体" w:eastAsia="华文楷体"/>
          <w:b w:val="0"/>
          <w:sz w:val="24"/>
        </w:rPr>
        <w:t>人形机器人量产进度和商业化节奏需跟踪；大额融资资金使用情况需核实；需关注产品迭代能否如期实现规模化交付。</w:t>
      </w:r>
    </w:p>
    <w:p>
      <w:pPr>
        <w:pStyle w:val="Heading3"/>
      </w:pPr>
      <w:r>
        <w:rPr>
          <w:rFonts w:ascii="华文楷体" w:hAnsi="华文楷体" w:eastAsia="华文楷体"/>
          <w:b/>
          <w:sz w:val="24"/>
        </w:rPr>
        <w:t>企业名称：中控技术股份有限公司</w:t>
      </w:r>
    </w:p>
    <w:p>
      <w:pPr>
        <w:pStyle w:val="ListBullet"/>
        <w:spacing w:before="40" w:after="80"/>
      </w:pPr>
      <w:r>
        <w:rPr>
          <w:rFonts w:ascii="华文楷体" w:hAnsi="华文楷体" w:eastAsia="华文楷体"/>
          <w:b w:val="0"/>
          <w:sz w:val="24"/>
        </w:rPr>
        <w:t>推荐等级： 高</w:t>
      </w:r>
    </w:p>
    <w:p>
      <w:pPr>
        <w:pStyle w:val="ListBullet"/>
        <w:spacing w:before="40" w:after="80"/>
      </w:pPr>
      <w:r>
        <w:rPr>
          <w:rFonts w:ascii="华文楷体" w:hAnsi="华文楷体" w:eastAsia="华文楷体"/>
          <w:b w:val="0"/>
          <w:sz w:val="24"/>
        </w:rPr>
        <w:t>所属行业： 工业AI/人形机器人</w:t>
      </w:r>
    </w:p>
    <w:p>
      <w:pPr>
        <w:pStyle w:val="ListBullet"/>
        <w:spacing w:before="40" w:after="80"/>
      </w:pPr>
      <w:r>
        <w:rPr>
          <w:rFonts w:ascii="华文楷体" w:hAnsi="华文楷体" w:eastAsia="华文楷体"/>
          <w:b w:val="0"/>
          <w:sz w:val="24"/>
        </w:rPr>
        <w:t>所在地区： 杭州</w:t>
      </w:r>
    </w:p>
    <w:p>
      <w:pPr>
        <w:pStyle w:val="ListBullet"/>
        <w:spacing w:before="40" w:after="80"/>
      </w:pPr>
      <w:r>
        <w:rPr>
          <w:rFonts w:ascii="华文楷体" w:hAnsi="华文楷体" w:eastAsia="华文楷体"/>
          <w:b w:val="0"/>
          <w:sz w:val="24"/>
        </w:rPr>
        <w:t>产业链位置： 中游/平台型</w:t>
      </w:r>
    </w:p>
    <w:p>
      <w:pPr>
        <w:pStyle w:val="ListBullet"/>
        <w:spacing w:before="40" w:after="80"/>
      </w:pPr>
      <w:r>
        <w:rPr>
          <w:rFonts w:ascii="华文楷体" w:hAnsi="华文楷体" w:eastAsia="华文楷体"/>
          <w:b w:val="0"/>
          <w:sz w:val="24"/>
        </w:rPr>
        <w:t>推荐方向： 跨境结算/现金管理/供应链金融/票据</w:t>
      </w:r>
    </w:p>
    <w:p>
      <w:pPr>
        <w:spacing w:before="160" w:after="80"/>
      </w:pPr>
      <w:r>
        <w:rPr>
          <w:rFonts w:ascii="华文楷体" w:hAnsi="华文楷体" w:eastAsia="华文楷体"/>
          <w:b/>
          <w:sz w:val="24"/>
        </w:rPr>
        <w:t>企业关键信息：</w:t>
      </w:r>
    </w:p>
    <w:p>
      <w:pPr>
        <w:pStyle w:val="ListBullet"/>
        <w:spacing w:before="40" w:after="80"/>
      </w:pPr>
      <w:r>
        <w:rPr>
          <w:rFonts w:ascii="华文楷体" w:hAnsi="华文楷体" w:eastAsia="华文楷体"/>
          <w:b w:val="0"/>
          <w:sz w:val="24"/>
        </w:rPr>
        <w:t>基本情况： A股上市公司，主营工业自动化和流程工业解决方案，是人形机器人创新中心最大股东；发布流程工业机器人解决方案"Plantbot"，获得沙特阿美、日本三菱、泰国PTTGC、巴西SENAI等国际客户。</w:t>
      </w:r>
    </w:p>
    <w:p>
      <w:pPr>
        <w:pStyle w:val="ListBullet"/>
        <w:spacing w:before="40" w:after="80"/>
      </w:pPr>
      <w:r>
        <w:rPr>
          <w:rFonts w:ascii="华文楷体" w:hAnsi="华文楷体" w:eastAsia="华文楷体"/>
          <w:b w:val="0"/>
          <w:sz w:val="24"/>
        </w:rPr>
        <w:t>高层与团队背景： 创始人褚健为浙江大学教授，长期深耕工业自动化和流程工业智能化，在行业内具备深厚产业资源和技术积累。</w:t>
      </w:r>
    </w:p>
    <w:p>
      <w:pPr>
        <w:pStyle w:val="ListBullet"/>
        <w:spacing w:before="40" w:after="80"/>
      </w:pPr>
      <w:r>
        <w:rPr>
          <w:rFonts w:ascii="华文楷体" w:hAnsi="华文楷体" w:eastAsia="华文楷体"/>
          <w:b w:val="0"/>
          <w:sz w:val="24"/>
        </w:rPr>
        <w:t>银行关注点： 海外客户覆盖中东、东南亚和拉美，跨境收付款、汇率避险和全球资金管理需求明确；同时作为人形机器人创新中心最大股东，投资管理和生态协同空间大。</w:t>
      </w:r>
    </w:p>
    <w:p>
      <w:pPr>
        <w:spacing w:before="160" w:after="80"/>
      </w:pPr>
      <w:r>
        <w:rPr>
          <w:rFonts w:ascii="华文楷体" w:hAnsi="华文楷体" w:eastAsia="华文楷体"/>
          <w:b/>
          <w:sz w:val="24"/>
        </w:rPr>
        <w:t>推荐理由：</w:t>
      </w:r>
    </w:p>
    <w:p>
      <w:pPr>
        <w:pStyle w:val="ListBullet"/>
        <w:spacing w:before="40" w:after="80"/>
      </w:pPr>
      <w:r>
        <w:rPr>
          <w:rFonts w:ascii="华文楷体" w:hAnsi="华文楷体" w:eastAsia="华文楷体"/>
          <w:b w:val="0"/>
          <w:sz w:val="24"/>
        </w:rPr>
        <w:t>Plantbot方案获得沙特阿美、日本三菱、巴西SENAI等全球高端客户，出海业务持续放量。</w:t>
      </w:r>
    </w:p>
    <w:p>
      <w:pPr>
        <w:pStyle w:val="ListBullet"/>
        <w:spacing w:before="40" w:after="80"/>
      </w:pPr>
      <w:r>
        <w:rPr>
          <w:rFonts w:ascii="华文楷体" w:hAnsi="华文楷体" w:eastAsia="华文楷体"/>
          <w:b w:val="0"/>
          <w:sz w:val="24"/>
        </w:rPr>
        <w:t>与沙特阿美共同推进"空地一体"机器人联合开发项目，涉及跨境结算和海外资金管理。</w:t>
      </w:r>
    </w:p>
    <w:p>
      <w:pPr>
        <w:pStyle w:val="ListBullet"/>
        <w:spacing w:before="40" w:after="80"/>
      </w:pPr>
      <w:r>
        <w:rPr>
          <w:rFonts w:ascii="华文楷体" w:hAnsi="华文楷体" w:eastAsia="华文楷体"/>
          <w:b w:val="0"/>
          <w:sz w:val="24"/>
        </w:rPr>
        <w:t>"动态风险集控安全方案"通过工信部验收，重大隐患预警率达100%，工业AI安全领域领先地位进一步强化。</w:t>
      </w:r>
    </w:p>
    <w:p>
      <w:pPr>
        <w:pStyle w:val="ListBullet"/>
        <w:spacing w:before="40" w:after="80"/>
      </w:pPr>
      <w:r>
        <w:rPr>
          <w:rFonts w:ascii="华文楷体" w:hAnsi="华文楷体" w:eastAsia="华文楷体"/>
          <w:b w:val="0"/>
          <w:sz w:val="24"/>
        </w:rPr>
        <w:t>作为国内工业AI龙头，供应链长、供应商多，具备做核心企业供应链金融的基础。</w:t>
      </w:r>
    </w:p>
    <w:p>
      <w:pPr>
        <w:spacing w:before="160" w:after="80"/>
      </w:pPr>
      <w:r>
        <w:rPr>
          <w:rFonts w:ascii="华文楷体" w:hAnsi="华文楷体" w:eastAsia="华文楷体"/>
          <w:b/>
          <w:sz w:val="24"/>
        </w:rPr>
        <w:t>银行展业机会：</w:t>
      </w:r>
    </w:p>
    <w:p>
      <w:pPr>
        <w:spacing w:before="0" w:after="80"/>
      </w:pPr>
      <w:r>
        <w:rPr>
          <w:rFonts w:ascii="华文楷体" w:hAnsi="华文楷体" w:eastAsia="华文楷体"/>
          <w:b w:val="0"/>
          <w:sz w:val="24"/>
        </w:rPr>
        <w:t>中控技术海外客户覆盖沙特阿美、日本三菱、巴西SENAI等，跨境业务持续放量，建议以跨境支付结算、人民币国际证+福费廷、跨境资金管理和平安避险切入；配套数字财资管理境内外多主体资金流、付融通和商票保贴服务供应链上下游账期管理。额度、期限、费率待沟通。</w:t>
      </w:r>
    </w:p>
    <w:p>
      <w:pPr>
        <w:spacing w:before="160" w:after="80"/>
      </w:pPr>
      <w:r>
        <w:rPr>
          <w:rFonts w:ascii="华文楷体" w:hAnsi="华文楷体" w:eastAsia="华文楷体"/>
          <w:b/>
          <w:sz w:val="24"/>
        </w:rPr>
        <w:t>推荐产品组合：</w:t>
      </w:r>
    </w:p>
    <w:p>
      <w:pPr>
        <w:spacing w:before="0" w:after="80"/>
      </w:pPr>
      <w:r>
        <w:rPr>
          <w:rFonts w:ascii="华文楷体" w:hAnsi="华文楷体" w:eastAsia="华文楷体"/>
          <w:b w:val="0"/>
          <w:sz w:val="24"/>
        </w:rPr>
        <w:t>建议以跨境支付结算和跨境资金管理切入中东和东南亚项目回款；配套人民币国际证+福费廷、数字财资和付融通，服务海外订单交付、资金集中管理和供应链周转，额度、期限、费率待沟通。</w:t>
      </w:r>
    </w:p>
    <w:p>
      <w:pPr>
        <w:spacing w:before="160" w:after="80"/>
      </w:pPr>
      <w:r>
        <w:rPr>
          <w:rFonts w:ascii="华文楷体" w:hAnsi="华文楷体" w:eastAsia="华文楷体"/>
          <w:b/>
          <w:sz w:val="24"/>
        </w:rPr>
        <w:t>风险提示：</w:t>
      </w:r>
    </w:p>
    <w:p>
      <w:pPr>
        <w:spacing w:before="0" w:after="80"/>
      </w:pPr>
      <w:r>
        <w:rPr>
          <w:rFonts w:ascii="华文楷体" w:hAnsi="华文楷体" w:eastAsia="华文楷体"/>
          <w:b w:val="0"/>
          <w:sz w:val="24"/>
        </w:rPr>
        <w:t>海外市场受地缘政治和汇率波动影响；需关注海外项目回款周期和客户集中度；上市公司信息披露以公告为准。</w:t>
      </w:r>
    </w:p>
    <w:p>
      <w:pPr>
        <w:pStyle w:val="Heading3"/>
      </w:pPr>
      <w:r>
        <w:rPr>
          <w:rFonts w:ascii="华文楷体" w:hAnsi="华文楷体" w:eastAsia="华文楷体"/>
          <w:b/>
          <w:sz w:val="24"/>
        </w:rPr>
        <w:t>企业名称：博银合创机器人有限公司</w:t>
      </w:r>
    </w:p>
    <w:p>
      <w:pPr>
        <w:pStyle w:val="ListBullet"/>
        <w:spacing w:before="40" w:after="80"/>
      </w:pPr>
      <w:r>
        <w:rPr>
          <w:rFonts w:ascii="华文楷体" w:hAnsi="华文楷体" w:eastAsia="华文楷体"/>
          <w:b w:val="0"/>
          <w:sz w:val="24"/>
        </w:rPr>
        <w:t>推荐等级： 中</w:t>
      </w:r>
    </w:p>
    <w:p>
      <w:pPr>
        <w:pStyle w:val="ListBullet"/>
        <w:spacing w:before="40" w:after="80"/>
      </w:pPr>
      <w:r>
        <w:rPr>
          <w:rFonts w:ascii="华文楷体" w:hAnsi="华文楷体" w:eastAsia="华文楷体"/>
          <w:b w:val="0"/>
          <w:sz w:val="24"/>
        </w:rPr>
        <w:t>所属行业： 具身智能/工业应用</w:t>
      </w:r>
    </w:p>
    <w:p>
      <w:pPr>
        <w:pStyle w:val="ListBullet"/>
        <w:spacing w:before="40" w:after="80"/>
      </w:pPr>
      <w:r>
        <w:rPr>
          <w:rFonts w:ascii="华文楷体" w:hAnsi="华文楷体" w:eastAsia="华文楷体"/>
          <w:b w:val="0"/>
          <w:sz w:val="24"/>
        </w:rPr>
        <w:t>所在地区： 宁波</w:t>
      </w:r>
    </w:p>
    <w:p>
      <w:pPr>
        <w:pStyle w:val="ListBullet"/>
        <w:spacing w:before="40" w:after="80"/>
      </w:pPr>
      <w:r>
        <w:rPr>
          <w:rFonts w:ascii="华文楷体" w:hAnsi="华文楷体" w:eastAsia="华文楷体"/>
          <w:b w:val="0"/>
          <w:sz w:val="24"/>
        </w:rPr>
        <w:t>产业链位置： 中游/整机与场景集成</w:t>
      </w:r>
    </w:p>
    <w:p>
      <w:pPr>
        <w:pStyle w:val="ListBullet"/>
        <w:spacing w:before="40" w:after="80"/>
      </w:pPr>
      <w:r>
        <w:rPr>
          <w:rFonts w:ascii="华文楷体" w:hAnsi="华文楷体" w:eastAsia="华文楷体"/>
          <w:b w:val="0"/>
          <w:sz w:val="24"/>
        </w:rPr>
        <w:t>推荐方向： 订单融资/流动资金/供应链金融/跨境结算</w:t>
      </w:r>
    </w:p>
    <w:p>
      <w:pPr>
        <w:spacing w:before="160" w:after="80"/>
      </w:pPr>
      <w:r>
        <w:rPr>
          <w:rFonts w:ascii="华文楷体" w:hAnsi="华文楷体" w:eastAsia="华文楷体"/>
          <w:b/>
          <w:sz w:val="24"/>
        </w:rPr>
        <w:t>企业关键信息：</w:t>
      </w:r>
    </w:p>
    <w:p>
      <w:pPr>
        <w:pStyle w:val="ListBullet"/>
        <w:spacing w:before="40" w:after="80"/>
      </w:pPr>
      <w:r>
        <w:rPr>
          <w:rFonts w:ascii="华文楷体" w:hAnsi="华文楷体" w:eastAsia="华文楷体"/>
          <w:b w:val="0"/>
          <w:sz w:val="24"/>
        </w:rPr>
        <w:t>基本情况： 由博世旗下博原资本与银河通用共同孵化的合资公司，聚焦工业具身智能场景；2026年5月披露累计意向订单金额达数亿美元级别，客户覆盖汽车及其配件、物流分拣等行业。</w:t>
      </w:r>
    </w:p>
    <w:p>
      <w:pPr>
        <w:pStyle w:val="ListBullet"/>
        <w:spacing w:before="40" w:after="80"/>
      </w:pPr>
      <w:r>
        <w:rPr>
          <w:rFonts w:ascii="华文楷体" w:hAnsi="华文楷体" w:eastAsia="华文楷体"/>
          <w:b w:val="0"/>
          <w:sz w:val="24"/>
        </w:rPr>
        <w:t>高层与团队背景： 合资方博世是全球汽车零部件和工业自动化巨头，银河通用是国内头部具身智能平台企业；具体高管履历待核实。</w:t>
      </w:r>
    </w:p>
    <w:p>
      <w:pPr>
        <w:pStyle w:val="ListBullet"/>
        <w:spacing w:before="40" w:after="80"/>
      </w:pPr>
      <w:r>
        <w:rPr>
          <w:rFonts w:ascii="华文楷体" w:hAnsi="华文楷体" w:eastAsia="华文楷体"/>
          <w:b w:val="0"/>
          <w:sz w:val="24"/>
        </w:rPr>
        <w:t>银行关注点： 博世产业背景+银河通用技术能力的合资模式，订单可见度高，适合从订单融资和供应链金融切入。</w:t>
      </w:r>
    </w:p>
    <w:p>
      <w:pPr>
        <w:spacing w:before="160" w:after="80"/>
      </w:pPr>
      <w:r>
        <w:rPr>
          <w:rFonts w:ascii="华文楷体" w:hAnsi="华文楷体" w:eastAsia="华文楷体"/>
          <w:b/>
          <w:sz w:val="24"/>
        </w:rPr>
        <w:t>推荐理由：</w:t>
      </w:r>
    </w:p>
    <w:p>
      <w:pPr>
        <w:pStyle w:val="ListBullet"/>
        <w:spacing w:before="40" w:after="80"/>
      </w:pPr>
      <w:r>
        <w:rPr>
          <w:rFonts w:ascii="华文楷体" w:hAnsi="华文楷体" w:eastAsia="华文楷体"/>
          <w:b w:val="0"/>
          <w:sz w:val="24"/>
        </w:rPr>
        <w:t>5月最新披露累计意向订单达数亿美元级别，是具身智能赛道从样机走向量产的典型代表。</w:t>
      </w:r>
    </w:p>
    <w:p>
      <w:pPr>
        <w:pStyle w:val="ListBullet"/>
        <w:spacing w:before="40" w:after="80"/>
      </w:pPr>
      <w:r>
        <w:rPr>
          <w:rFonts w:ascii="华文楷体" w:hAnsi="华文楷体" w:eastAsia="华文楷体"/>
          <w:b w:val="0"/>
          <w:sz w:val="24"/>
        </w:rPr>
        <w:t>博世产业资本背书，客户覆盖汽车及其配件、物流分拣等重资产行业，订单真实性较高。</w:t>
      </w:r>
    </w:p>
    <w:p>
      <w:pPr>
        <w:pStyle w:val="ListBullet"/>
        <w:spacing w:before="40" w:after="80"/>
      </w:pPr>
      <w:r>
        <w:rPr>
          <w:rFonts w:ascii="华文楷体" w:hAnsi="华文楷体" w:eastAsia="华文楷体"/>
          <w:b w:val="0"/>
          <w:sz w:val="24"/>
        </w:rPr>
        <w:t>落户宁波，叠加宁波"AI+制造"政策导向，有利于银行在本地制造业生态中批量获客。</w:t>
      </w:r>
    </w:p>
    <w:p>
      <w:pPr>
        <w:spacing w:before="160" w:after="80"/>
      </w:pPr>
      <w:r>
        <w:rPr>
          <w:rFonts w:ascii="华文楷体" w:hAnsi="华文楷体" w:eastAsia="华文楷体"/>
          <w:b/>
          <w:sz w:val="24"/>
        </w:rPr>
        <w:t>银行展业机会：</w:t>
      </w:r>
    </w:p>
    <w:p>
      <w:pPr>
        <w:spacing w:before="0" w:after="80"/>
      </w:pPr>
      <w:r>
        <w:rPr>
          <w:rFonts w:ascii="华文楷体" w:hAnsi="华文楷体" w:eastAsia="华文楷体"/>
          <w:b w:val="0"/>
          <w:sz w:val="24"/>
        </w:rPr>
        <w:t>博银合创累计意向订单达数亿美元，处于从样机到量产交付的爬坡期，金融需求集中在订单备货、核心零部件采购和供应商付款。建议以订单融资切入汽车和物流行业大订单的备货资金需求；配套普惠金融科创贷服务研发和试产周转、付融通和银票贴现应对供应商账期、跨境支付结算服务博世体系的跨境资金往来。额度、期限、费率待沟通。</w:t>
      </w:r>
    </w:p>
    <w:p>
      <w:pPr>
        <w:spacing w:before="160" w:after="80"/>
      </w:pPr>
      <w:r>
        <w:rPr>
          <w:rFonts w:ascii="华文楷体" w:hAnsi="华文楷体" w:eastAsia="华文楷体"/>
          <w:b/>
          <w:sz w:val="24"/>
        </w:rPr>
        <w:t>推荐产品组合：</w:t>
      </w:r>
    </w:p>
    <w:p>
      <w:pPr>
        <w:spacing w:before="0" w:after="80"/>
      </w:pPr>
      <w:r>
        <w:rPr>
          <w:rFonts w:ascii="华文楷体" w:hAnsi="华文楷体" w:eastAsia="华文楷体"/>
          <w:b w:val="0"/>
          <w:sz w:val="24"/>
        </w:rPr>
        <w:t>建议以订单融资作为主推产品，切入汽车和物流行业大订单备货；配套普惠金融科创贷、付融通和跨境支付结算，服务研发周转、供应商付款和博世体系跨境资金往来，额度、期限、费率待沟通。</w:t>
      </w:r>
    </w:p>
    <w:p>
      <w:pPr>
        <w:spacing w:before="160" w:after="80"/>
      </w:pPr>
      <w:r>
        <w:rPr>
          <w:rFonts w:ascii="华文楷体" w:hAnsi="华文楷体" w:eastAsia="华文楷体"/>
          <w:b/>
          <w:sz w:val="24"/>
        </w:rPr>
        <w:t>风险提示：</w:t>
      </w:r>
    </w:p>
    <w:p>
      <w:pPr>
        <w:spacing w:before="0" w:after="80"/>
      </w:pPr>
      <w:r>
        <w:rPr>
          <w:rFonts w:ascii="华文楷体" w:hAnsi="华文楷体" w:eastAsia="华文楷体"/>
          <w:b w:val="0"/>
          <w:sz w:val="24"/>
        </w:rPr>
        <w:t>意向订单转化为实际合同的节奏需核实；具身智能量产爬坡阶段存在技术和供应链风险；需关注博世和银河通用的股权和控制结构。</w:t>
      </w:r>
    </w:p>
    <w:p>
      <w:pPr>
        <w:pStyle w:val="Heading3"/>
      </w:pPr>
      <w:r>
        <w:rPr>
          <w:rFonts w:ascii="华文楷体" w:hAnsi="华文楷体" w:eastAsia="华文楷体"/>
          <w:b/>
          <w:sz w:val="24"/>
        </w:rPr>
        <w:t>企业名称：浙江生益科技有限公司</w:t>
      </w:r>
    </w:p>
    <w:p>
      <w:pPr>
        <w:pStyle w:val="ListBullet"/>
        <w:spacing w:before="40" w:after="80"/>
      </w:pPr>
      <w:r>
        <w:rPr>
          <w:rFonts w:ascii="华文楷体" w:hAnsi="华文楷体" w:eastAsia="华文楷体"/>
          <w:b w:val="0"/>
          <w:sz w:val="24"/>
        </w:rPr>
        <w:t>推荐等级： 中</w:t>
      </w:r>
    </w:p>
    <w:p>
      <w:pPr>
        <w:pStyle w:val="ListBullet"/>
        <w:spacing w:before="40" w:after="80"/>
      </w:pPr>
      <w:r>
        <w:rPr>
          <w:rFonts w:ascii="华文楷体" w:hAnsi="华文楷体" w:eastAsia="华文楷体"/>
          <w:b w:val="0"/>
          <w:sz w:val="24"/>
        </w:rPr>
        <w:t>所属行业： AI算力硬件/PCB</w:t>
      </w:r>
    </w:p>
    <w:p>
      <w:pPr>
        <w:pStyle w:val="ListBullet"/>
        <w:spacing w:before="40" w:after="80"/>
      </w:pPr>
      <w:r>
        <w:rPr>
          <w:rFonts w:ascii="华文楷体" w:hAnsi="华文楷体" w:eastAsia="华文楷体"/>
          <w:b w:val="0"/>
          <w:sz w:val="24"/>
        </w:rPr>
        <w:t>所在地区： 浙江</w:t>
      </w:r>
    </w:p>
    <w:p>
      <w:pPr>
        <w:pStyle w:val="ListBullet"/>
        <w:spacing w:before="40" w:after="80"/>
      </w:pPr>
      <w:r>
        <w:rPr>
          <w:rFonts w:ascii="华文楷体" w:hAnsi="华文楷体" w:eastAsia="华文楷体"/>
          <w:b w:val="0"/>
          <w:sz w:val="24"/>
        </w:rPr>
        <w:t>产业链位置： 上游/AI服务器PCB</w:t>
      </w:r>
    </w:p>
    <w:p>
      <w:pPr>
        <w:pStyle w:val="ListBullet"/>
        <w:spacing w:before="40" w:after="80"/>
      </w:pPr>
      <w:r>
        <w:rPr>
          <w:rFonts w:ascii="华文楷体" w:hAnsi="华文楷体" w:eastAsia="华文楷体"/>
          <w:b w:val="0"/>
          <w:sz w:val="24"/>
        </w:rPr>
        <w:t>推荐方向： 设备融资/流动资金/票据/跨境采购结算</w:t>
      </w:r>
    </w:p>
    <w:p>
      <w:pPr>
        <w:spacing w:before="160" w:after="80"/>
      </w:pPr>
      <w:r>
        <w:rPr>
          <w:rFonts w:ascii="华文楷体" w:hAnsi="华文楷体" w:eastAsia="华文楷体"/>
          <w:b/>
          <w:sz w:val="24"/>
        </w:rPr>
        <w:t>企业关键信息：</w:t>
      </w:r>
    </w:p>
    <w:p>
      <w:pPr>
        <w:pStyle w:val="ListBullet"/>
        <w:spacing w:before="40" w:after="80"/>
      </w:pPr>
      <w:r>
        <w:rPr>
          <w:rFonts w:ascii="华文楷体" w:hAnsi="华文楷体" w:eastAsia="华文楷体"/>
          <w:b w:val="0"/>
          <w:sz w:val="24"/>
        </w:rPr>
        <w:t>基本情况： 生益电子是AI服务器PCB领域龙头企业，2025年营收94.94亿元，同比增长102.57%；归母净利润14.73亿元，同比增长343.76%；2026年一季度净利润4.45亿元，同比增长122.16%。生益科技在浙江有产能布局。</w:t>
      </w:r>
    </w:p>
    <w:p>
      <w:pPr>
        <w:pStyle w:val="ListBullet"/>
        <w:spacing w:before="40" w:after="80"/>
      </w:pPr>
      <w:r>
        <w:rPr>
          <w:rFonts w:ascii="华文楷体" w:hAnsi="华文楷体" w:eastAsia="华文楷体"/>
          <w:b w:val="0"/>
          <w:sz w:val="24"/>
        </w:rPr>
        <w:t>高层与团队背景： 上市公司管理层公开披露较多，具体教育背景需以公司公告核实。</w:t>
      </w:r>
    </w:p>
    <w:p>
      <w:pPr>
        <w:pStyle w:val="ListBullet"/>
        <w:spacing w:before="40" w:after="80"/>
      </w:pPr>
      <w:r>
        <w:rPr>
          <w:rFonts w:ascii="华文楷体" w:hAnsi="华文楷体" w:eastAsia="华文楷体"/>
          <w:b w:val="0"/>
          <w:sz w:val="24"/>
        </w:rPr>
        <w:t>银行关注点： 2026-2027年是AI-PCB交付大年，产能扩张和设备投入需求明确；同时，上游材料和设备可能涉及跨境采购。</w:t>
      </w:r>
    </w:p>
    <w:p>
      <w:pPr>
        <w:spacing w:before="160" w:after="80"/>
      </w:pPr>
      <w:r>
        <w:rPr>
          <w:rFonts w:ascii="华文楷体" w:hAnsi="华文楷体" w:eastAsia="华文楷体"/>
          <w:b/>
          <w:sz w:val="24"/>
        </w:rPr>
        <w:t>推荐理由：</w:t>
      </w:r>
    </w:p>
    <w:p>
      <w:pPr>
        <w:pStyle w:val="ListBullet"/>
        <w:spacing w:before="40" w:after="80"/>
      </w:pPr>
      <w:r>
        <w:rPr>
          <w:rFonts w:ascii="华文楷体" w:hAnsi="华文楷体" w:eastAsia="华文楷体"/>
          <w:b w:val="0"/>
          <w:sz w:val="24"/>
        </w:rPr>
        <w:t>AI算力硬件迭代带动PCB行业结构性增长，2026年AI服务器+交换机对应PCB市场空间预计500-600亿元。</w:t>
      </w:r>
    </w:p>
    <w:p>
      <w:pPr>
        <w:pStyle w:val="ListBullet"/>
        <w:spacing w:before="40" w:after="80"/>
      </w:pPr>
      <w:r>
        <w:rPr>
          <w:rFonts w:ascii="华文楷体" w:hAnsi="华文楷体" w:eastAsia="华文楷体"/>
          <w:b w:val="0"/>
          <w:sz w:val="24"/>
        </w:rPr>
        <w:t>头部企业2026年Q1净利润同比增长122%，业绩兑现度高，银行授信风险相对可控。</w:t>
      </w:r>
    </w:p>
    <w:p>
      <w:pPr>
        <w:pStyle w:val="ListBullet"/>
        <w:spacing w:before="40" w:after="80"/>
      </w:pPr>
      <w:r>
        <w:rPr>
          <w:rFonts w:ascii="华文楷体" w:hAnsi="华文楷体" w:eastAsia="华文楷体"/>
          <w:b w:val="0"/>
          <w:sz w:val="24"/>
        </w:rPr>
        <w:t>产能扩张需要设备投入和流动资金补充，适合银行切入。</w:t>
      </w:r>
    </w:p>
    <w:p>
      <w:pPr>
        <w:spacing w:before="160" w:after="80"/>
      </w:pPr>
      <w:r>
        <w:rPr>
          <w:rFonts w:ascii="华文楷体" w:hAnsi="华文楷体" w:eastAsia="华文楷体"/>
          <w:b/>
          <w:sz w:val="24"/>
        </w:rPr>
        <w:t>银行展业机会：</w:t>
      </w:r>
    </w:p>
    <w:p>
      <w:pPr>
        <w:spacing w:before="0" w:after="80"/>
      </w:pPr>
      <w:r>
        <w:rPr>
          <w:rFonts w:ascii="华文楷体" w:hAnsi="华文楷体" w:eastAsia="华文楷体"/>
          <w:b w:val="0"/>
          <w:sz w:val="24"/>
        </w:rPr>
        <w:t>AI-PCB处于2026-2027交付大年，企业扩产需要设备投入和流动资金。建议以设备融资或科技创新和技术更新改造再贷款切入新产线建设；配套银票贴现和商票保贴服务供应商付款节奏、短贷服务扩产期流动资金需求、国内信用证或跨境支付结算服务海外设备采购。额度、期限、费率待沟通。</w:t>
      </w:r>
    </w:p>
    <w:p>
      <w:pPr>
        <w:spacing w:before="160" w:after="80"/>
      </w:pPr>
      <w:r>
        <w:rPr>
          <w:rFonts w:ascii="华文楷体" w:hAnsi="华文楷体" w:eastAsia="华文楷体"/>
          <w:b/>
          <w:sz w:val="24"/>
        </w:rPr>
        <w:t>推荐产品组合：</w:t>
      </w:r>
    </w:p>
    <w:p>
      <w:pPr>
        <w:spacing w:before="0" w:after="80"/>
      </w:pPr>
      <w:r>
        <w:rPr>
          <w:rFonts w:ascii="华文楷体" w:hAnsi="华文楷体" w:eastAsia="华文楷体"/>
          <w:b w:val="0"/>
          <w:sz w:val="24"/>
        </w:rPr>
        <w:t>建议以设备融资切入新产线建设；配套银票贴现、商票保贴和短贷，服务供应商付款和扩产期流动资金；跨境支付结算用于海外设备采购，额度、期限、费率待沟通。</w:t>
      </w:r>
    </w:p>
    <w:p>
      <w:pPr>
        <w:spacing w:before="160" w:after="80"/>
      </w:pPr>
      <w:r>
        <w:rPr>
          <w:rFonts w:ascii="华文楷体" w:hAnsi="华文楷体" w:eastAsia="华文楷体"/>
          <w:b/>
          <w:sz w:val="24"/>
        </w:rPr>
        <w:t>风险提示：</w:t>
      </w:r>
    </w:p>
    <w:p>
      <w:pPr>
        <w:spacing w:before="0" w:after="80"/>
      </w:pPr>
      <w:r>
        <w:rPr>
          <w:rFonts w:ascii="华文楷体" w:hAnsi="华文楷体" w:eastAsia="华文楷体"/>
          <w:b w:val="0"/>
          <w:sz w:val="24"/>
        </w:rPr>
        <w:t>PCB行业竞争加剧，新进入者产能释放可能压缩利润空间；需关注AI算力投资周期波动和客户集中度；以上数据以公司公告为准。</w:t>
      </w:r>
    </w:p>
    <w:p>
      <w:pPr>
        <w:pStyle w:val="Heading3"/>
      </w:pPr>
      <w:r>
        <w:rPr>
          <w:rFonts w:ascii="华文楷体" w:hAnsi="华文楷体" w:eastAsia="华文楷体"/>
          <w:b/>
          <w:sz w:val="24"/>
        </w:rPr>
        <w:t>企业名称：科大讯飞股份有限公司</w:t>
      </w:r>
    </w:p>
    <w:p>
      <w:pPr>
        <w:pStyle w:val="ListBullet"/>
        <w:spacing w:before="40" w:after="80"/>
      </w:pPr>
      <w:r>
        <w:rPr>
          <w:rFonts w:ascii="华文楷体" w:hAnsi="华文楷体" w:eastAsia="华文楷体"/>
          <w:b w:val="0"/>
          <w:sz w:val="24"/>
        </w:rPr>
        <w:t>推荐等级： 中</w:t>
      </w:r>
    </w:p>
    <w:p>
      <w:pPr>
        <w:pStyle w:val="ListBullet"/>
        <w:spacing w:before="40" w:after="80"/>
      </w:pPr>
      <w:r>
        <w:rPr>
          <w:rFonts w:ascii="华文楷体" w:hAnsi="华文楷体" w:eastAsia="华文楷体"/>
          <w:b w:val="0"/>
          <w:sz w:val="24"/>
        </w:rPr>
        <w:t>所属行业： AI大模型/语音智能</w:t>
      </w:r>
    </w:p>
    <w:p>
      <w:pPr>
        <w:pStyle w:val="ListBullet"/>
        <w:spacing w:before="40" w:after="80"/>
      </w:pPr>
      <w:r>
        <w:rPr>
          <w:rFonts w:ascii="华文楷体" w:hAnsi="华文楷体" w:eastAsia="华文楷体"/>
          <w:b w:val="0"/>
          <w:sz w:val="24"/>
        </w:rPr>
        <w:t>所在地区： 杭州（浙江业务）</w:t>
      </w:r>
    </w:p>
    <w:p>
      <w:pPr>
        <w:pStyle w:val="ListBullet"/>
        <w:spacing w:before="40" w:after="80"/>
      </w:pPr>
      <w:r>
        <w:rPr>
          <w:rFonts w:ascii="华文楷体" w:hAnsi="华文楷体" w:eastAsia="华文楷体"/>
          <w:b w:val="0"/>
          <w:sz w:val="24"/>
        </w:rPr>
        <w:t>产业链位置： 中游/平台型</w:t>
      </w:r>
    </w:p>
    <w:p>
      <w:pPr>
        <w:pStyle w:val="ListBullet"/>
        <w:spacing w:before="40" w:after="80"/>
      </w:pPr>
      <w:r>
        <w:rPr>
          <w:rFonts w:ascii="华文楷体" w:hAnsi="华文楷体" w:eastAsia="华文楷体"/>
          <w:b w:val="0"/>
          <w:sz w:val="24"/>
        </w:rPr>
        <w:t>推荐方向： 研发运营/现金管理/供应链金融/跨境结算</w:t>
      </w:r>
    </w:p>
    <w:p>
      <w:pPr>
        <w:spacing w:before="160" w:after="80"/>
      </w:pPr>
      <w:r>
        <w:rPr>
          <w:rFonts w:ascii="华文楷体" w:hAnsi="华文楷体" w:eastAsia="华文楷体"/>
          <w:b/>
          <w:sz w:val="24"/>
        </w:rPr>
        <w:t>企业关键信息：</w:t>
      </w:r>
    </w:p>
    <w:p>
      <w:pPr>
        <w:pStyle w:val="ListBullet"/>
        <w:spacing w:before="40" w:after="80"/>
      </w:pPr>
      <w:r>
        <w:rPr>
          <w:rFonts w:ascii="华文楷体" w:hAnsi="华文楷体" w:eastAsia="华文楷体"/>
          <w:b w:val="0"/>
          <w:sz w:val="24"/>
        </w:rPr>
        <w:t>基本情况： A股上市公司，主营智能语音、大模型和AI内容生成等业务，2025年研发支出44.39亿元，专利授权295项，强化AI内容生成能力。在浙江有教育和行业AI业务布局。</w:t>
      </w:r>
    </w:p>
    <w:p>
      <w:pPr>
        <w:pStyle w:val="ListBullet"/>
        <w:spacing w:before="40" w:after="80"/>
      </w:pPr>
      <w:r>
        <w:rPr>
          <w:rFonts w:ascii="华文楷体" w:hAnsi="华文楷体" w:eastAsia="华文楷体"/>
          <w:b w:val="0"/>
          <w:sz w:val="24"/>
        </w:rPr>
        <w:t>高层与团队背景： 创始团队来自中国科学技术大学，刘庆峰为公司核心人物，长期深耕智能语音和认知智能领域。</w:t>
      </w:r>
    </w:p>
    <w:p>
      <w:pPr>
        <w:pStyle w:val="ListBullet"/>
        <w:spacing w:before="40" w:after="80"/>
      </w:pPr>
      <w:r>
        <w:rPr>
          <w:rFonts w:ascii="华文楷体" w:hAnsi="华文楷体" w:eastAsia="华文楷体"/>
          <w:b w:val="0"/>
          <w:sz w:val="24"/>
        </w:rPr>
        <w:t>银行关注点： 研发投入强度大，浙江地区教育AI和行业大模型项目有落地空间，适合以科创类授信和资金管理切入。</w:t>
      </w:r>
    </w:p>
    <w:p>
      <w:pPr>
        <w:spacing w:before="160" w:after="80"/>
      </w:pPr>
      <w:r>
        <w:rPr>
          <w:rFonts w:ascii="华文楷体" w:hAnsi="华文楷体" w:eastAsia="华文楷体"/>
          <w:b/>
          <w:sz w:val="24"/>
        </w:rPr>
        <w:t>推荐理由：</w:t>
      </w:r>
    </w:p>
    <w:p>
      <w:pPr>
        <w:pStyle w:val="ListBullet"/>
        <w:spacing w:before="40" w:after="80"/>
      </w:pPr>
      <w:r>
        <w:rPr>
          <w:rFonts w:ascii="华文楷体" w:hAnsi="华文楷体" w:eastAsia="华文楷体"/>
          <w:b w:val="0"/>
          <w:sz w:val="24"/>
        </w:rPr>
        <w:t>2025年研发支出44.39亿元，专利授权295项，AI内容生成能力持续强化。</w:t>
      </w:r>
    </w:p>
    <w:p>
      <w:pPr>
        <w:pStyle w:val="ListBullet"/>
        <w:spacing w:before="40" w:after="80"/>
      </w:pPr>
      <w:r>
        <w:rPr>
          <w:rFonts w:ascii="华文楷体" w:hAnsi="华文楷体" w:eastAsia="华文楷体"/>
          <w:b w:val="0"/>
          <w:sz w:val="24"/>
        </w:rPr>
        <w:t>浙江教育和政企数字化转型对大模型和语音智能需求旺盛，讯飞在浙江有业务基础。</w:t>
      </w:r>
    </w:p>
    <w:p>
      <w:pPr>
        <w:pStyle w:val="ListBullet"/>
        <w:spacing w:before="40" w:after="80"/>
      </w:pPr>
      <w:r>
        <w:rPr>
          <w:rFonts w:ascii="华文楷体" w:hAnsi="华文楷体" w:eastAsia="华文楷体"/>
          <w:b w:val="0"/>
          <w:sz w:val="24"/>
        </w:rPr>
        <w:t>高研发投入意味着持续的流动性和设备采购需求。</w:t>
      </w:r>
    </w:p>
    <w:p>
      <w:pPr>
        <w:spacing w:before="160" w:after="80"/>
      </w:pPr>
      <w:r>
        <w:rPr>
          <w:rFonts w:ascii="华文楷体" w:hAnsi="华文楷体" w:eastAsia="华文楷体"/>
          <w:b/>
          <w:sz w:val="24"/>
        </w:rPr>
        <w:t>银行展业机会：</w:t>
      </w:r>
    </w:p>
    <w:p>
      <w:pPr>
        <w:spacing w:before="0" w:after="80"/>
      </w:pPr>
      <w:r>
        <w:rPr>
          <w:rFonts w:ascii="华文楷体" w:hAnsi="华文楷体" w:eastAsia="华文楷体"/>
          <w:b w:val="0"/>
          <w:sz w:val="24"/>
        </w:rPr>
        <w:t>科大讯飞研发支出规模大、专利密集，金融需求集中在研发流动资金、设备采购和应收账款管理。建议以普惠金融科创贷或科技创新和技术更新改造再贷款切入研发运营；配套数字财资管理多主体资金流、银票贴现服务供应商付款节奏。若涉及海外技术合作或设备采购，可配置跨境支付结算和人民币国际证+福费廷。额度、期限、费率待沟通。</w:t>
      </w:r>
    </w:p>
    <w:p>
      <w:pPr>
        <w:spacing w:before="160" w:after="80"/>
      </w:pPr>
      <w:r>
        <w:rPr>
          <w:rFonts w:ascii="华文楷体" w:hAnsi="华文楷体" w:eastAsia="华文楷体"/>
          <w:b/>
          <w:sz w:val="24"/>
        </w:rPr>
        <w:t>推荐产品组合：</w:t>
      </w:r>
    </w:p>
    <w:p>
      <w:pPr>
        <w:spacing w:before="0" w:after="80"/>
      </w:pPr>
      <w:r>
        <w:rPr>
          <w:rFonts w:ascii="华文楷体" w:hAnsi="华文楷体" w:eastAsia="华文楷体"/>
          <w:b w:val="0"/>
          <w:sz w:val="24"/>
        </w:rPr>
        <w:t>建议以普惠金融科创贷切入研发运营；配套数字财资、银票贴现和跨境支付结算，服务多主体资金管理和海外采购，额度、期限、费率待沟通。</w:t>
      </w:r>
    </w:p>
    <w:p>
      <w:pPr>
        <w:spacing w:before="160" w:after="80"/>
      </w:pPr>
      <w:r>
        <w:rPr>
          <w:rFonts w:ascii="华文楷体" w:hAnsi="华文楷体" w:eastAsia="华文楷体"/>
          <w:b/>
          <w:sz w:val="24"/>
        </w:rPr>
        <w:t>风险提示：</w:t>
      </w:r>
    </w:p>
    <w:p>
      <w:pPr>
        <w:spacing w:before="0" w:after="80"/>
      </w:pPr>
      <w:r>
        <w:rPr>
          <w:rFonts w:ascii="华文楷体" w:hAnsi="华文楷体" w:eastAsia="华文楷体"/>
          <w:b w:val="0"/>
          <w:sz w:val="24"/>
        </w:rPr>
        <w:t>AI内容生成领域竞争激烈；研发支出资本化比例和商业化转化效率需关注；浙江业务规模需核实。</w:t>
      </w:r>
    </w:p>
    <w:p>
      <w:pPr>
        <w:pStyle w:val="Heading2"/>
      </w:pPr>
      <w:r>
        <w:rPr>
          <w:rFonts w:ascii="华文楷体" w:hAnsi="华文楷体" w:eastAsia="华文楷体"/>
          <w:b/>
          <w:sz w:val="24"/>
        </w:rPr>
        <w:t>四、客户经理行动建议</w:t>
      </w:r>
    </w:p>
    <w:p>
      <w:pPr>
        <w:pStyle w:val="ListBullet"/>
        <w:spacing w:before="40" w:after="80"/>
      </w:pPr>
      <w:r>
        <w:rPr>
          <w:rFonts w:ascii="华文楷体" w:hAnsi="华文楷体" w:eastAsia="华文楷体"/>
          <w:b w:val="0"/>
          <w:sz w:val="24"/>
        </w:rPr>
        <w:t>优先拜访杭州云深处科技有限公司（5月刚完成IPO辅导）、浙江人形机器人创新中心（累计募资22亿元、正在量产）、中控技术股份有限公司（海外订单放量、跨境需求明确、动态风险方案通过工信部验收），主线围绕具身智能上市窗口、量产爬坡和跨境结算。</w:t>
      </w:r>
    </w:p>
    <w:p>
      <w:pPr>
        <w:pStyle w:val="ListBullet"/>
        <w:spacing w:before="40" w:after="80"/>
      </w:pPr>
      <w:r>
        <w:rPr>
          <w:rFonts w:ascii="华文楷体" w:hAnsi="华文楷体" w:eastAsia="华文楷体"/>
          <w:b w:val="0"/>
          <w:sz w:val="24"/>
        </w:rPr>
        <w:t>对宁波博银合创，从数亿美元意向订单切入，重点跟进订单融资和博世体系的供应链金融机会。</w:t>
      </w:r>
    </w:p>
    <w:p>
      <w:pPr>
        <w:pStyle w:val="ListBullet"/>
        <w:spacing w:before="40" w:after="80"/>
      </w:pPr>
      <w:r>
        <w:rPr>
          <w:rFonts w:ascii="华文楷体" w:hAnsi="华文楷体" w:eastAsia="华文楷体"/>
          <w:b w:val="0"/>
          <w:sz w:val="24"/>
        </w:rPr>
        <w:t>对科大讯飞浙江区域业务，围绕教育AI和行业大模型项目落地，跟进研发流动资金和设备融资需求。</w:t>
      </w:r>
    </w:p>
    <w:p>
      <w:pPr>
        <w:pStyle w:val="ListBullet"/>
        <w:spacing w:before="40" w:after="80"/>
      </w:pPr>
      <w:r>
        <w:rPr>
          <w:rFonts w:ascii="华文楷体" w:hAnsi="华文楷体" w:eastAsia="华文楷体"/>
          <w:b w:val="0"/>
          <w:sz w:val="24"/>
        </w:rPr>
        <w:t>拜访前准备"科创贷/技术更新改造再贷款+平安租赁+订单融资/付融通+数字财资/跨境结算"的组合方案，避免单点推产品。</w:t>
      </w:r>
    </w:p>
    <w:p>
      <w:pPr>
        <w:pStyle w:val="ListBullet"/>
        <w:spacing w:before="40" w:after="80"/>
      </w:pPr>
      <w:r>
        <w:rPr>
          <w:rFonts w:ascii="华文楷体" w:hAnsi="华文楷体" w:eastAsia="华文楷体"/>
          <w:b w:val="0"/>
          <w:sz w:val="24"/>
        </w:rPr>
        <w:t>内部建议联动普惠金融、交易银行、公司网络金融、跨境和租赁团队，按"企业经营场景→资金痛点→产品组合"出一页纸方案。</w:t>
      </w:r>
    </w:p>
    <w:p>
      <w:pPr>
        <w:pStyle w:val="ListBullet"/>
        <w:spacing w:before="40" w:after="80"/>
      </w:pPr>
      <w:r>
        <w:rPr>
          <w:rFonts w:ascii="华文楷体" w:hAnsi="华文楷体" w:eastAsia="华文楷体"/>
          <w:b w:val="0"/>
          <w:sz w:val="24"/>
        </w:rPr>
        <w:t>风控侧重点核查订单真实性、回款周期、供应商集中度、在手现金、研发资本化、海外客户和IPO进展。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