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华文楷体" w:hAnsi="华文楷体"/>
          <w:color w:val="000000"/>
        </w:rPr>
        <w:t>人工智能行业商机周报</w:t>
      </w:r>
    </w:p>
    <w:p>
      <w:pPr>
        <w:pStyle w:val="Heading2"/>
      </w:pPr>
      <w:r>
        <w:rPr>
          <w:rFonts w:ascii="华文楷体" w:hAnsi="华文楷体"/>
          <w:color w:val="000000"/>
        </w:rPr>
        <w:t>一、行业动态与发展总结</w:t>
      </w:r>
    </w:p>
    <w:p>
      <w:pPr>
        <w:pStyle w:val="Heading3"/>
      </w:pPr>
      <w:r>
        <w:rPr>
          <w:rFonts w:ascii="华文楷体" w:hAnsi="华文楷体"/>
          <w:color w:val="000000"/>
        </w:rPr>
        <w:t>1. 近期政策变动</w:t>
      </w:r>
    </w:p>
    <w:p>
      <w:pPr>
        <w:spacing w:before="0" w:after="80"/>
      </w:pPr>
      <w:r>
        <w:rPr>
          <w:rFonts w:ascii="华文楷体" w:hAnsi="华文楷体"/>
          <w:sz w:val="24"/>
        </w:rPr>
        <w:t>本周全国层面最重要的政策信号，是市场监管总局、国家发展改革委联合布局人工智能计量体系和能力建设。政策重点从"有没有模型、有没有算力"转向"模型测得准、数据管得住、结果可验证"，方向包括计量基础能力、标准参考数据、测试验证方法和产业应用支撑。同时，AI拟人化互动、生成式内容标识、智能体安全等监管议题延续升温，大模型和具身智能企业的竞争门槛正从单纯参数转向可交付、可验收、可合规。综合影响闭环：AI产业从快速试点进入规范化规模应用阶段，企业需投入测试平台、数据治理和合规团队；金融需求集中在研发流动资金、设备投入、项目交付周转和供应链账期管理；平安银行可用科创贷、科技创新和技术更新改造再贷款、平安租赁、票据贴现、付融通和数字财资组合切入。</w:t>
      </w:r>
    </w:p>
    <w:p>
      <w:pPr>
        <w:pStyle w:val="Heading3"/>
      </w:pPr>
      <w:r>
        <w:rPr>
          <w:rFonts w:ascii="华文楷体" w:hAnsi="华文楷体"/>
          <w:color w:val="000000"/>
        </w:rPr>
        <w:t>2. 政府规划与产业方向</w:t>
      </w:r>
    </w:p>
    <w:p>
      <w:pPr>
        <w:spacing w:before="0" w:after="80"/>
      </w:pPr>
      <w:r>
        <w:rPr>
          <w:rFonts w:ascii="华文楷体" w:hAnsi="华文楷体"/>
          <w:sz w:val="24"/>
        </w:rPr>
        <w:t>国家层面继续把人工智能放在新质生产力、未来产业和制造业智能化改造的核心位置，具身智能、工业大模型、算力网络、光通信和端侧AI芯片是本周反复出现的方向。政府支持重点是"模型+数据+场景+硬件+测试验证"的完整闭环，能把AI嵌入制造、能源、交通、医疗、设计、安防和机器人场景的企业更容易形成项目订单和可融资资产。</w:t>
      </w:r>
    </w:p>
    <w:p>
      <w:pPr>
        <w:pStyle w:val="Heading3"/>
      </w:pPr>
      <w:r>
        <w:rPr>
          <w:rFonts w:ascii="华文楷体" w:hAnsi="华文楷体"/>
          <w:color w:val="000000"/>
        </w:rPr>
        <w:t>3. 行业发展趋势</w:t>
      </w:r>
    </w:p>
    <w:p>
      <w:pPr>
        <w:spacing w:before="0" w:after="80"/>
      </w:pPr>
      <w:r>
        <w:rPr>
          <w:rFonts w:ascii="华文楷体" w:hAnsi="华文楷体"/>
          <w:sz w:val="24"/>
        </w:rPr>
        <w:t>人工智能行业处于上行但快速分化阶段：基础模型继续吸引大额资本，但商业化验证和算力效率成为核心命题；具身智能和机器人融资活跃，AI算力和光模块受益于全球数据中心和机器人端侧推理需求。银行应优先关注三类客户——已有订单和交付场景的AI硬件及机器人企业、能嵌入制造业流程的软件平台企业、AI产业链中的光通信/传感器/测试设备供应商；需警惕模型企业现金消耗快、硬件企业库存和应收上升、To G/To B项目回款周期较长等风险。</w:t>
      </w:r>
    </w:p>
    <w:p>
      <w:pPr>
        <w:pStyle w:val="Heading3"/>
      </w:pPr>
      <w:r>
        <w:rPr>
          <w:rFonts w:ascii="华文楷体" w:hAnsi="华文楷体"/>
          <w:color w:val="000000"/>
        </w:rPr>
        <w:t>4. 上下游产业链动态</w:t>
      </w:r>
    </w:p>
    <w:p>
      <w:pPr>
        <w:spacing w:before="0" w:after="80"/>
      </w:pPr>
      <w:r>
        <w:rPr>
          <w:rFonts w:ascii="华文楷体" w:hAnsi="华文楷体"/>
          <w:sz w:val="24"/>
        </w:rPr>
        <w:t>上游算力芯片、光模块、服务器、边缘AI模组和测试设备需求保持高景气，国产替代和出海订单带动备货；中游大模型、智能体、机器人整机和工业AI软件进入场景落地阶段；下游制造、物流、家居设计、安防、汽车和政企数字化是更明确的采购方向。资金占用更容易出现在硬件备货、项目交付、渠道账期和供应商付款环节，适合切入的产品包括订单融资、付融通、商票保贴、银票贴现、国内信用证、平安租赁和数字财资。</w:t>
      </w:r>
    </w:p>
    <w:p>
      <w:pPr>
        <w:pStyle w:val="Heading2"/>
      </w:pPr>
      <w:r>
        <w:rPr>
          <w:rFonts w:ascii="华文楷体" w:hAnsi="华文楷体"/>
          <w:color w:val="000000"/>
        </w:rPr>
        <w:t>二、浙江地区动态与区域机会</w:t>
      </w:r>
    </w:p>
    <w:p>
      <w:pPr>
        <w:pStyle w:val="Heading3"/>
      </w:pPr>
      <w:r>
        <w:rPr>
          <w:rFonts w:ascii="华文楷体" w:hAnsi="华文楷体"/>
          <w:color w:val="000000"/>
        </w:rPr>
        <w:t>1. 浙江政策与政府规划</w:t>
      </w:r>
    </w:p>
    <w:p>
      <w:pPr>
        <w:spacing w:before="0" w:after="80"/>
      </w:pPr>
      <w:r>
        <w:rPr>
          <w:rFonts w:ascii="华文楷体" w:hAnsi="华文楷体"/>
          <w:sz w:val="24"/>
        </w:rPr>
        <w:t>浙江本周最强信号是杭州国家人工智能应用中试基地（具身智能）挂牌启用，并由浙江省层面专题研究部署。该基地面向具身智能，承担机器人测试验证、场景训练、生态共建和产业化衔接功能，公开信息显示已有百台级机器人进入基地，产业链覆盖资本、芯片、本体、应用等环节。宁波方向则强调"人工智能+制造"全场景开放创新，叠加宁波制造业基础、数据要素和石化化工等中试场景，有利于工业AI、机器视觉、智能装备和数字化平台落地。</w:t>
      </w:r>
    </w:p>
    <w:p>
      <w:pPr>
        <w:pStyle w:val="Heading3"/>
      </w:pPr>
      <w:r>
        <w:rPr>
          <w:rFonts w:ascii="华文楷体" w:hAnsi="华文楷体"/>
          <w:color w:val="000000"/>
        </w:rPr>
        <w:t>2. 浙江重点产业与区域机会</w:t>
      </w:r>
    </w:p>
    <w:p>
      <w:pPr>
        <w:spacing w:before="0" w:after="80"/>
      </w:pPr>
      <w:r>
        <w:rPr>
          <w:rFonts w:ascii="华文楷体" w:hAnsi="华文楷体"/>
          <w:sz w:val="24"/>
        </w:rPr>
        <w:t>浙江AI机会集中在杭州和宁波两条线。杭州更适合扫具身智能、基础模型、空间智能、智能物联和AI软件平台；宁波更适合扫AI+制造、工业视觉、智能装备、化工/港口/外贸场景解决方案。结合"415X"先进制造业集群，AI不是独立赛道，而是赋能高端装备、智能物联、汽车零部件、绿色石化和数字经济的横向能力。客户经理应重点关注两类企业：杭州AI生态中的链主和平台企业（可带动上下游批量获客），以及浙江制造业中的AI改造受益企业（融资需求来自设备更新、项目交付、账期拉长和出口结算）。</w:t>
      </w:r>
    </w:p>
    <w:p>
      <w:pPr>
        <w:pStyle w:val="Heading3"/>
      </w:pPr>
      <w:r>
        <w:rPr>
          <w:rFonts w:ascii="华文楷体" w:hAnsi="华文楷体"/>
          <w:color w:val="000000"/>
        </w:rPr>
        <w:t>3. 浙江上下游产业链动态</w:t>
      </w:r>
    </w:p>
    <w:p>
      <w:pPr>
        <w:spacing w:before="0" w:after="80"/>
      </w:pPr>
      <w:r>
        <w:rPr>
          <w:rFonts w:ascii="华文楷体" w:hAnsi="华文楷体"/>
          <w:sz w:val="24"/>
        </w:rPr>
        <w:t>杭州具身智能产业链包括基础模型、机器人本体、伺服与传感器、边缘算力、测试验证、应用场景和渠道交付。国家级中试基地启用后，整机企业会更频繁进行测试、采购和小批量交付，供应商端可能出现账期和备货资金需求。浙江智能物联和机器视觉企业连接制造业、安防、交通、能源和海外客户，AI项目交付伴随硬件采购、软件开发、验收回款和质保周期，应收账款管理、票据贴现、保理和跨境结算值得前置沟通。</w:t>
      </w:r>
    </w:p>
    <w:p>
      <w:pPr>
        <w:pStyle w:val="Heading3"/>
      </w:pPr>
      <w:r>
        <w:rPr>
          <w:rFonts w:ascii="华文楷体" w:hAnsi="华文楷体"/>
          <w:color w:val="000000"/>
        </w:rPr>
        <w:t>4. 银行展业机会</w:t>
      </w:r>
    </w:p>
    <w:p>
      <w:pPr>
        <w:pStyle w:val="ListBullet"/>
        <w:spacing w:before="0" w:after="80"/>
      </w:pPr>
      <w:r>
        <w:rPr>
          <w:rFonts w:ascii="华文楷体" w:hAnsi="华文楷体"/>
          <w:sz w:val="24"/>
        </w:rPr>
        <w:t>围绕杭州具身智能中试基地，优先拜访机器人整机、伺服、传感器、边缘算力和测试设备企业，切入平安租赁、科创贷、订单融资和付融通。</w:t>
      </w:r>
    </w:p>
    <w:p>
      <w:pPr>
        <w:pStyle w:val="ListBullet"/>
        <w:spacing w:before="0" w:after="80"/>
      </w:pPr>
      <w:r>
        <w:rPr>
          <w:rFonts w:ascii="华文楷体" w:hAnsi="华文楷体"/>
          <w:sz w:val="24"/>
        </w:rPr>
        <w:t>围绕基础模型和AI软件平台，重点聊算力采购、研发费用、SaaS回款和多账户管理，切入普惠金融科创贷、数字财资、资产池和平安薪。</w:t>
      </w:r>
    </w:p>
    <w:p>
      <w:pPr>
        <w:pStyle w:val="ListBullet"/>
        <w:spacing w:before="0" w:after="80"/>
      </w:pPr>
      <w:r>
        <w:rPr>
          <w:rFonts w:ascii="华文楷体" w:hAnsi="华文楷体"/>
          <w:sz w:val="24"/>
        </w:rPr>
        <w:t>围绕智能物联和机器视觉链主企业，做核心企业供应链金融，批量触达供应商和经销商，切入商票保贴、商票e贴、银票无感贴现和付融通。</w:t>
      </w:r>
    </w:p>
    <w:p>
      <w:pPr>
        <w:pStyle w:val="ListBullet"/>
        <w:spacing w:before="0" w:after="80"/>
      </w:pPr>
      <w:r>
        <w:rPr>
          <w:rFonts w:ascii="华文楷体" w:hAnsi="华文楷体"/>
          <w:sz w:val="24"/>
        </w:rPr>
        <w:t>围绕AI硬件出海和海外客户回款，配置跨境支付结算、外币存款、跨境资金管理、新银关通和平安避险。</w:t>
      </w:r>
    </w:p>
    <w:p>
      <w:pPr>
        <w:pStyle w:val="Heading2"/>
      </w:pPr>
      <w:r>
        <w:rPr>
          <w:rFonts w:ascii="华文楷体" w:hAnsi="华文楷体"/>
          <w:color w:val="000000"/>
        </w:rPr>
        <w:t>三、重点企业推荐</w:t>
      </w:r>
    </w:p>
    <w:p>
      <w:pPr>
        <w:pStyle w:val="Heading3"/>
      </w:pPr>
      <w:r>
        <w:rPr>
          <w:rFonts w:ascii="华文楷体" w:hAnsi="华文楷体"/>
          <w:color w:val="000000"/>
        </w:rPr>
        <w:t>企业名称：杭州宇树科技有限公司</w:t>
      </w:r>
    </w:p>
    <w:p>
      <w:pPr>
        <w:pStyle w:val="ListBullet"/>
        <w:spacing w:before="0" w:after="80"/>
      </w:pPr>
      <w:r>
        <w:rPr>
          <w:rFonts w:ascii="华文楷体" w:hAnsi="华文楷体"/>
          <w:sz w:val="24"/>
        </w:rPr>
        <w:t>推荐等级： 高</w:t>
      </w:r>
    </w:p>
    <w:p>
      <w:pPr>
        <w:pStyle w:val="ListBullet"/>
        <w:spacing w:before="0" w:after="80"/>
      </w:pPr>
      <w:r>
        <w:rPr>
          <w:rFonts w:ascii="华文楷体" w:hAnsi="华文楷体"/>
          <w:sz w:val="24"/>
        </w:rPr>
        <w:t>所属行业： 具身智能/人形机器人</w:t>
      </w:r>
    </w:p>
    <w:p>
      <w:pPr>
        <w:pStyle w:val="ListBullet"/>
        <w:spacing w:before="0" w:after="80"/>
      </w:pPr>
      <w:r>
        <w:rPr>
          <w:rFonts w:ascii="华文楷体" w:hAnsi="华文楷体"/>
          <w:sz w:val="24"/>
        </w:rPr>
        <w:t>所在地区： 杭州</w:t>
      </w:r>
    </w:p>
    <w:p>
      <w:pPr>
        <w:pStyle w:val="ListBullet"/>
        <w:spacing w:before="0" w:after="80"/>
      </w:pPr>
      <w:r>
        <w:rPr>
          <w:rFonts w:ascii="华文楷体" w:hAnsi="华文楷体"/>
          <w:sz w:val="24"/>
        </w:rPr>
        <w:t>产业链位置： 中游/整机与算法平台</w:t>
      </w:r>
    </w:p>
    <w:p>
      <w:pPr>
        <w:pStyle w:val="ListBullet"/>
        <w:spacing w:before="0" w:after="80"/>
      </w:pPr>
      <w:r>
        <w:rPr>
          <w:rFonts w:ascii="华文楷体" w:hAnsi="华文楷体"/>
          <w:sz w:val="24"/>
        </w:rPr>
        <w:t>推荐方向： 流动资金/设备融资/供应链金融/票据/现金管理</w:t>
      </w:r>
    </w:p>
    <w:p>
      <w:pPr>
        <w:spacing w:before="120" w:after="80"/>
      </w:pPr>
      <w:r>
        <w:rPr>
          <w:rFonts w:ascii="华文楷体" w:hAnsi="华文楷体"/>
          <w:b/>
          <w:sz w:val="24"/>
        </w:rPr>
        <w:t>企业关键信息：</w:t>
      </w:r>
    </w:p>
    <w:p>
      <w:pPr>
        <w:pStyle w:val="ListBullet"/>
        <w:spacing w:before="0" w:after="80"/>
      </w:pPr>
      <w:r>
        <w:rPr>
          <w:rFonts w:ascii="华文楷体" w:hAnsi="华文楷体"/>
          <w:sz w:val="24"/>
        </w:rPr>
        <w:t>基本情况： 主营四足机器人、人形机器人和运动控制算法，处于杭州具身智能产业链核心环节。企业性质及最新订单细节待核实。</w:t>
      </w:r>
    </w:p>
    <w:p>
      <w:pPr>
        <w:pStyle w:val="ListBullet"/>
        <w:spacing w:before="0" w:after="80"/>
      </w:pPr>
      <w:r>
        <w:rPr>
          <w:rFonts w:ascii="华文楷体" w:hAnsi="华文楷体"/>
          <w:sz w:val="24"/>
        </w:rPr>
        <w:t>高层与团队背景： 创始人王兴兴公开信息显示毕业于浙江大学，长期从事机器人控制、动力系统和运动算法研发，团队具备硬件工程化、算法迭代和产业合作能力；其他高管履历待核实。</w:t>
      </w:r>
    </w:p>
    <w:p>
      <w:pPr>
        <w:pStyle w:val="ListBullet"/>
        <w:spacing w:before="0" w:after="80"/>
      </w:pPr>
      <w:r>
        <w:rPr>
          <w:rFonts w:ascii="华文楷体" w:hAnsi="华文楷体"/>
          <w:sz w:val="24"/>
        </w:rPr>
        <w:t>银行关注点： 团队工程化能力强，国家级中试基地将提升测试、示范和供应链协同效率，银行可围绕量产备货、零部件采购和渠道回款跟进。</w:t>
      </w:r>
    </w:p>
    <w:p>
      <w:pPr>
        <w:spacing w:before="120" w:after="80"/>
      </w:pPr>
      <w:r>
        <w:rPr>
          <w:rFonts w:ascii="华文楷体" w:hAnsi="华文楷体"/>
          <w:b/>
          <w:sz w:val="24"/>
        </w:rPr>
        <w:t>推荐理由：</w:t>
      </w:r>
    </w:p>
    <w:p>
      <w:pPr>
        <w:pStyle w:val="ListBullet"/>
        <w:spacing w:before="0" w:after="80"/>
      </w:pPr>
      <w:r>
        <w:rPr>
          <w:rFonts w:ascii="华文楷体" w:hAnsi="华文楷体"/>
          <w:sz w:val="24"/>
        </w:rPr>
        <w:t>杭州国家人工智能应用中试基地启用，具身智能进入场景验证和规模化训练阶段，宇树处于本地生态核心。</w:t>
      </w:r>
    </w:p>
    <w:p>
      <w:pPr>
        <w:pStyle w:val="ListBullet"/>
        <w:spacing w:before="0" w:after="80"/>
      </w:pPr>
      <w:r>
        <w:rPr>
          <w:rFonts w:ascii="华文楷体" w:hAnsi="华文楷体"/>
          <w:sz w:val="24"/>
        </w:rPr>
        <w:t>机器人整机迭代和交付会带动传感器、伺服、电池、结构件等采购，供应链金融具备批量切入空间。</w:t>
      </w:r>
    </w:p>
    <w:p>
      <w:pPr>
        <w:pStyle w:val="ListBullet"/>
        <w:spacing w:before="0" w:after="80"/>
      </w:pPr>
      <w:r>
        <w:rPr>
          <w:rFonts w:ascii="华文楷体" w:hAnsi="华文楷体"/>
          <w:sz w:val="24"/>
        </w:rPr>
        <w:t>海外展示与开发者生态提升品牌影响，若出口订单放量，跨境结算和汇率避险需求上升。</w:t>
      </w:r>
    </w:p>
    <w:p>
      <w:pPr>
        <w:spacing w:before="120" w:after="80"/>
      </w:pPr>
      <w:r>
        <w:rPr>
          <w:rFonts w:ascii="华文楷体" w:hAnsi="华文楷体"/>
          <w:b/>
          <w:sz w:val="24"/>
        </w:rPr>
        <w:t>银行展业机会：</w:t>
      </w:r>
    </w:p>
    <w:p>
      <w:pPr>
        <w:spacing w:before="0" w:after="80"/>
      </w:pPr>
      <w:r>
        <w:rPr>
          <w:rFonts w:ascii="华文楷体" w:hAnsi="华文楷体"/>
          <w:sz w:val="24"/>
        </w:rPr>
        <w:t>企业经营场景主要是研发投入、采购备货、项目交付和客户回款，金融需求集中在授信融资、票据、供应链金融、跨境结算和现金管理。建议以平安租赁或科技创新和技术更新改造再贷款切入产线、检测设备和研发设备投入；配套订单融资、付融通、银票贴现和数字财资，围绕供应商付款、订单备货和多账户管理提供组合方案，额度、期限、费率待沟通。</w:t>
      </w:r>
    </w:p>
    <w:p>
      <w:pPr>
        <w:spacing w:before="120" w:after="80"/>
      </w:pPr>
      <w:r>
        <w:rPr>
          <w:rFonts w:ascii="华文楷体" w:hAnsi="华文楷体"/>
          <w:b/>
          <w:sz w:val="24"/>
        </w:rPr>
        <w:t>推荐产品组合：</w:t>
      </w:r>
    </w:p>
    <w:p>
      <w:pPr>
        <w:spacing w:before="0" w:after="80"/>
      </w:pPr>
      <w:r>
        <w:rPr>
          <w:rFonts w:ascii="华文楷体" w:hAnsi="华文楷体"/>
          <w:sz w:val="24"/>
        </w:rPr>
        <w:t>建议以平安租赁或科技创新和技术更新改造再贷款切入产线、检测设备和研发设备投入；配套订单融资、付融通、银票贴现和数字财资，围绕供应商付款、订单备货和多账户管理提供组合方案，额度、期限、费率待沟通。</w:t>
      </w:r>
    </w:p>
    <w:p>
      <w:pPr>
        <w:spacing w:before="120" w:after="80"/>
      </w:pPr>
      <w:r>
        <w:rPr>
          <w:rFonts w:ascii="华文楷体" w:hAnsi="华文楷体"/>
          <w:b/>
          <w:sz w:val="24"/>
        </w:rPr>
        <w:t>风险提示：</w:t>
      </w:r>
    </w:p>
    <w:p>
      <w:pPr>
        <w:spacing w:before="0" w:after="80"/>
      </w:pPr>
      <w:r>
        <w:rPr>
          <w:rFonts w:ascii="华文楷体" w:hAnsi="华文楷体"/>
          <w:sz w:val="24"/>
        </w:rPr>
        <w:t>暂无明显公开风险，仍需结合征信、流水、财报、合同、客户结构、知识产权、供应商集中度和实地尽调确认。</w:t>
      </w:r>
    </w:p>
    <w:p>
      <w:pPr>
        <w:pStyle w:val="Heading3"/>
      </w:pPr>
      <w:r>
        <w:rPr>
          <w:rFonts w:ascii="华文楷体" w:hAnsi="华文楷体"/>
          <w:color w:val="000000"/>
        </w:rPr>
        <w:t>企业名称：杭州深度求索人工智能基础技术研究有限公司（DeepSeek）</w:t>
      </w:r>
    </w:p>
    <w:p>
      <w:pPr>
        <w:pStyle w:val="ListBullet"/>
        <w:spacing w:before="0" w:after="80"/>
      </w:pPr>
      <w:r>
        <w:rPr>
          <w:rFonts w:ascii="华文楷体" w:hAnsi="华文楷体"/>
          <w:sz w:val="24"/>
        </w:rPr>
        <w:t>推荐等级： 高</w:t>
      </w:r>
    </w:p>
    <w:p>
      <w:pPr>
        <w:pStyle w:val="ListBullet"/>
        <w:spacing w:before="0" w:after="80"/>
      </w:pPr>
      <w:r>
        <w:rPr>
          <w:rFonts w:ascii="华文楷体" w:hAnsi="华文楷体"/>
          <w:sz w:val="24"/>
        </w:rPr>
        <w:t>所属行业： AI基础模型/大语言模型</w:t>
      </w:r>
    </w:p>
    <w:p>
      <w:pPr>
        <w:pStyle w:val="ListBullet"/>
        <w:spacing w:before="0" w:after="80"/>
      </w:pPr>
      <w:r>
        <w:rPr>
          <w:rFonts w:ascii="华文楷体" w:hAnsi="华文楷体"/>
          <w:sz w:val="24"/>
        </w:rPr>
        <w:t>所在地区： 杭州</w:t>
      </w:r>
    </w:p>
    <w:p>
      <w:pPr>
        <w:pStyle w:val="ListBullet"/>
        <w:spacing w:before="0" w:after="80"/>
      </w:pPr>
      <w:r>
        <w:rPr>
          <w:rFonts w:ascii="华文楷体" w:hAnsi="华文楷体"/>
          <w:sz w:val="24"/>
        </w:rPr>
        <w:t>产业链位置： 上游/基础模型与研发平台</w:t>
      </w:r>
    </w:p>
    <w:p>
      <w:pPr>
        <w:pStyle w:val="ListBullet"/>
        <w:spacing w:before="0" w:after="80"/>
      </w:pPr>
      <w:r>
        <w:rPr>
          <w:rFonts w:ascii="华文楷体" w:hAnsi="华文楷体"/>
          <w:sz w:val="24"/>
        </w:rPr>
        <w:t>推荐方向： 研发运营/算力采购/现金管理/跨境结算</w:t>
      </w:r>
    </w:p>
    <w:p>
      <w:pPr>
        <w:spacing w:before="120" w:after="80"/>
      </w:pPr>
      <w:r>
        <w:rPr>
          <w:rFonts w:ascii="华文楷体" w:hAnsi="华文楷体"/>
          <w:b/>
          <w:sz w:val="24"/>
        </w:rPr>
        <w:t>企业关键信息：</w:t>
      </w:r>
    </w:p>
    <w:p>
      <w:pPr>
        <w:pStyle w:val="ListBullet"/>
        <w:spacing w:before="0" w:after="80"/>
      </w:pPr>
      <w:r>
        <w:rPr>
          <w:rFonts w:ascii="华文楷体" w:hAnsi="华文楷体"/>
          <w:sz w:val="24"/>
        </w:rPr>
        <w:t>基本情况： 公开资料显示公司专注通用人工智能基础技术和大模型研发，商业化、融资和股权细节需进一步核实。</w:t>
      </w:r>
    </w:p>
    <w:p>
      <w:pPr>
        <w:pStyle w:val="ListBullet"/>
        <w:spacing w:before="0" w:after="80"/>
      </w:pPr>
      <w:r>
        <w:rPr>
          <w:rFonts w:ascii="华文楷体" w:hAnsi="华文楷体"/>
          <w:sz w:val="24"/>
        </w:rPr>
        <w:t>高层与团队背景： 核心团队公开信息显示与幻方量化、高性能计算和算法研究资源关系密切；更多高管教育背景、导师和完整职业经历未披露。</w:t>
      </w:r>
    </w:p>
    <w:p>
      <w:pPr>
        <w:pStyle w:val="ListBullet"/>
        <w:spacing w:before="0" w:after="80"/>
      </w:pPr>
      <w:r>
        <w:rPr>
          <w:rFonts w:ascii="华文楷体" w:hAnsi="华文楷体"/>
          <w:sz w:val="24"/>
        </w:rPr>
        <w:t>银行关注点： 基础模型公司资金需求主要集中在算力、研发人员、云资源和生态合作，适合以科创类授信、资金管理和综合金融协同切入。</w:t>
      </w:r>
    </w:p>
    <w:p>
      <w:pPr>
        <w:spacing w:before="120" w:after="80"/>
      </w:pPr>
      <w:r>
        <w:rPr>
          <w:rFonts w:ascii="华文楷体" w:hAnsi="华文楷体"/>
          <w:b/>
          <w:sz w:val="24"/>
        </w:rPr>
        <w:t>推荐理由：</w:t>
      </w:r>
    </w:p>
    <w:p>
      <w:pPr>
        <w:pStyle w:val="ListBullet"/>
        <w:spacing w:before="0" w:after="80"/>
      </w:pPr>
      <w:r>
        <w:rPr>
          <w:rFonts w:ascii="华文楷体" w:hAnsi="华文楷体"/>
          <w:sz w:val="24"/>
        </w:rPr>
        <w:t>本周AI融资热度延续，基础模型和算力效率优化仍是资本关注主线。</w:t>
      </w:r>
    </w:p>
    <w:p>
      <w:pPr>
        <w:pStyle w:val="ListBullet"/>
        <w:spacing w:before="0" w:after="80"/>
      </w:pPr>
      <w:r>
        <w:rPr>
          <w:rFonts w:ascii="华文楷体" w:hAnsi="华文楷体"/>
          <w:sz w:val="24"/>
        </w:rPr>
        <w:t>杭州围绕人工智能创新高地和场景开放持续加码，基础模型企业具备生态带动效应。</w:t>
      </w:r>
    </w:p>
    <w:p>
      <w:pPr>
        <w:pStyle w:val="ListBullet"/>
        <w:spacing w:before="0" w:after="80"/>
      </w:pPr>
      <w:r>
        <w:rPr>
          <w:rFonts w:ascii="华文楷体" w:hAnsi="华文楷体"/>
          <w:sz w:val="24"/>
        </w:rPr>
        <w:t>如后续融资、算力采购或企业客户合作落地，现金管理、结算和研发资金需求会明显增加。</w:t>
      </w:r>
    </w:p>
    <w:p>
      <w:pPr>
        <w:spacing w:before="120" w:after="80"/>
      </w:pPr>
      <w:r>
        <w:rPr>
          <w:rFonts w:ascii="华文楷体" w:hAnsi="华文楷体"/>
          <w:b/>
          <w:sz w:val="24"/>
        </w:rPr>
        <w:t>银行展业机会：</w:t>
      </w:r>
    </w:p>
    <w:p>
      <w:pPr>
        <w:spacing w:before="0" w:after="80"/>
      </w:pPr>
      <w:r>
        <w:rPr>
          <w:rFonts w:ascii="华文楷体" w:hAnsi="华文楷体"/>
          <w:sz w:val="24"/>
        </w:rPr>
        <w:t>企业经营场景主要是研发投入、采购备货、项目交付和客户回款，金融需求集中在授信融资、票据、供应链金融、跨境结算和现金管理。建议以普惠金融科创贷或科技创新和技术更新改造再贷款切入研发运营与算力设备投入；配套数字财资、资产池、跨境支付结算和外币存款，服务多账户、研发采购和海外生态合作，额度、期限、费率待沟通。</w:t>
      </w:r>
    </w:p>
    <w:p>
      <w:pPr>
        <w:spacing w:before="120" w:after="80"/>
      </w:pPr>
      <w:r>
        <w:rPr>
          <w:rFonts w:ascii="华文楷体" w:hAnsi="华文楷体"/>
          <w:b/>
          <w:sz w:val="24"/>
        </w:rPr>
        <w:t>推荐产品组合：</w:t>
      </w:r>
    </w:p>
    <w:p>
      <w:pPr>
        <w:spacing w:before="0" w:after="80"/>
      </w:pPr>
      <w:r>
        <w:rPr>
          <w:rFonts w:ascii="华文楷体" w:hAnsi="华文楷体"/>
          <w:sz w:val="24"/>
        </w:rPr>
        <w:t>建议以普惠金融科创贷或科技创新和技术更新改造再贷款切入研发运营与算力设备投入；配套数字财资、资产池、跨境支付结算和外币存款，服务多账户、研发采购和海外生态合作，额度、期限、费率待沟通。</w:t>
      </w:r>
    </w:p>
    <w:p>
      <w:pPr>
        <w:spacing w:before="120" w:after="80"/>
      </w:pPr>
      <w:r>
        <w:rPr>
          <w:rFonts w:ascii="华文楷体" w:hAnsi="华文楷体"/>
          <w:b/>
          <w:sz w:val="24"/>
        </w:rPr>
        <w:t>风险提示：</w:t>
      </w:r>
    </w:p>
    <w:p>
      <w:pPr>
        <w:spacing w:before="0" w:after="80"/>
      </w:pPr>
      <w:r>
        <w:rPr>
          <w:rFonts w:ascii="华文楷体" w:hAnsi="华文楷体"/>
          <w:sz w:val="24"/>
        </w:rPr>
        <w:t>暂无明显公开风险，仍需结合征信、流水、财报、合同、客户结构、知识产权、供应商集中度和实地尽调确认。</w:t>
      </w:r>
    </w:p>
    <w:p>
      <w:pPr>
        <w:pStyle w:val="Heading3"/>
      </w:pPr>
      <w:r>
        <w:rPr>
          <w:rFonts w:ascii="华文楷体" w:hAnsi="华文楷体"/>
          <w:color w:val="000000"/>
        </w:rPr>
        <w:t>企业名称：杭州群核信息技术有限公司</w:t>
      </w:r>
    </w:p>
    <w:p>
      <w:pPr>
        <w:pStyle w:val="ListBullet"/>
        <w:spacing w:before="0" w:after="80"/>
      </w:pPr>
      <w:r>
        <w:rPr>
          <w:rFonts w:ascii="华文楷体" w:hAnsi="华文楷体"/>
          <w:sz w:val="24"/>
        </w:rPr>
        <w:t>推荐等级： 高</w:t>
      </w:r>
    </w:p>
    <w:p>
      <w:pPr>
        <w:pStyle w:val="ListBullet"/>
        <w:spacing w:before="0" w:after="80"/>
      </w:pPr>
      <w:r>
        <w:rPr>
          <w:rFonts w:ascii="华文楷体" w:hAnsi="华文楷体"/>
          <w:sz w:val="24"/>
        </w:rPr>
        <w:t>所属行业： 空间智能/AI软件</w:t>
      </w:r>
    </w:p>
    <w:p>
      <w:pPr>
        <w:pStyle w:val="ListBullet"/>
        <w:spacing w:before="0" w:after="80"/>
      </w:pPr>
      <w:r>
        <w:rPr>
          <w:rFonts w:ascii="华文楷体" w:hAnsi="华文楷体"/>
          <w:sz w:val="24"/>
        </w:rPr>
        <w:t>所在地区： 杭州</w:t>
      </w:r>
    </w:p>
    <w:p>
      <w:pPr>
        <w:pStyle w:val="ListBullet"/>
        <w:spacing w:before="0" w:after="80"/>
      </w:pPr>
      <w:r>
        <w:rPr>
          <w:rFonts w:ascii="华文楷体" w:hAnsi="华文楷体"/>
          <w:sz w:val="24"/>
        </w:rPr>
        <w:t>产业链位置： 平台型/空间智能与产业软件</w:t>
      </w:r>
    </w:p>
    <w:p>
      <w:pPr>
        <w:pStyle w:val="ListBullet"/>
        <w:spacing w:before="0" w:after="80"/>
      </w:pPr>
      <w:r>
        <w:rPr>
          <w:rFonts w:ascii="华文楷体" w:hAnsi="华文楷体"/>
          <w:sz w:val="24"/>
        </w:rPr>
        <w:t>推荐方向： 现金管理/跨境结算/代发/资本市场协同</w:t>
      </w:r>
    </w:p>
    <w:p>
      <w:pPr>
        <w:spacing w:before="120" w:after="80"/>
      </w:pPr>
      <w:r>
        <w:rPr>
          <w:rFonts w:ascii="华文楷体" w:hAnsi="华文楷体"/>
          <w:b/>
          <w:sz w:val="24"/>
        </w:rPr>
        <w:t>企业关键信息：</w:t>
      </w:r>
    </w:p>
    <w:p>
      <w:pPr>
        <w:pStyle w:val="ListBullet"/>
        <w:spacing w:before="0" w:after="80"/>
      </w:pPr>
      <w:r>
        <w:rPr>
          <w:rFonts w:ascii="华文楷体" w:hAnsi="华文楷体"/>
          <w:sz w:val="24"/>
        </w:rPr>
        <w:t>基本情况： 公司运营Coohom/酷家乐相关业务，面向家居、建筑和空间设计场景提供云设计、渲染和AI软件服务；港股上市及最新财务细节需以公告核实。</w:t>
      </w:r>
    </w:p>
    <w:p>
      <w:pPr>
        <w:pStyle w:val="ListBullet"/>
        <w:spacing w:before="0" w:after="80"/>
      </w:pPr>
      <w:r>
        <w:rPr>
          <w:rFonts w:ascii="华文楷体" w:hAnsi="华文楷体"/>
          <w:sz w:val="24"/>
        </w:rPr>
        <w:t>高层与团队背景： 创始及管理团队公开信息显示具备互联网软件、三维图形和产业数字化经验；具体学校、导师和CFO履历需进一步核实。</w:t>
      </w:r>
    </w:p>
    <w:p>
      <w:pPr>
        <w:pStyle w:val="ListBullet"/>
        <w:spacing w:before="0" w:after="80"/>
      </w:pPr>
      <w:r>
        <w:rPr>
          <w:rFonts w:ascii="华文楷体" w:hAnsi="华文楷体"/>
          <w:sz w:val="24"/>
        </w:rPr>
        <w:t>银行关注点： 软件平台类客户通常账户多、收款渠道多、员工规模和跨境客户较复杂，适合以数字财资和跨境资金管理提升粘性。</w:t>
      </w:r>
    </w:p>
    <w:p>
      <w:pPr>
        <w:spacing w:before="120" w:after="80"/>
      </w:pPr>
      <w:r>
        <w:rPr>
          <w:rFonts w:ascii="华文楷体" w:hAnsi="华文楷体"/>
          <w:b/>
          <w:sz w:val="24"/>
        </w:rPr>
        <w:t>推荐理由：</w:t>
      </w:r>
    </w:p>
    <w:p>
      <w:pPr>
        <w:pStyle w:val="ListBullet"/>
        <w:spacing w:before="0" w:after="80"/>
      </w:pPr>
      <w:r>
        <w:rPr>
          <w:rFonts w:ascii="华文楷体" w:hAnsi="华文楷体"/>
          <w:sz w:val="24"/>
        </w:rPr>
        <w:t>AI从基础模型转向行业应用，空间智能、世界模型和设计自动化是商业化较清晰的方向。</w:t>
      </w:r>
    </w:p>
    <w:p>
      <w:pPr>
        <w:pStyle w:val="ListBullet"/>
        <w:spacing w:before="0" w:after="80"/>
      </w:pPr>
      <w:r>
        <w:rPr>
          <w:rFonts w:ascii="华文楷体" w:hAnsi="华文楷体"/>
          <w:sz w:val="24"/>
        </w:rPr>
        <w:t>杭州AI产业生态和"六小龙"效应有利于平台型AI软件公司拓展客户和资本关注。</w:t>
      </w:r>
    </w:p>
    <w:p>
      <w:pPr>
        <w:pStyle w:val="ListBullet"/>
        <w:spacing w:before="0" w:after="80"/>
      </w:pPr>
      <w:r>
        <w:rPr>
          <w:rFonts w:ascii="华文楷体" w:hAnsi="华文楷体"/>
          <w:sz w:val="24"/>
        </w:rPr>
        <w:t>若海外客户和SaaS订阅收入提升，跨境收付款、外币存款和汇率避险需求增加。</w:t>
      </w:r>
    </w:p>
    <w:p>
      <w:pPr>
        <w:spacing w:before="120" w:after="80"/>
      </w:pPr>
      <w:r>
        <w:rPr>
          <w:rFonts w:ascii="华文楷体" w:hAnsi="华文楷体"/>
          <w:b/>
          <w:sz w:val="24"/>
        </w:rPr>
        <w:t>银行展业机会：</w:t>
      </w:r>
    </w:p>
    <w:p>
      <w:pPr>
        <w:spacing w:before="0" w:after="80"/>
      </w:pPr>
      <w:r>
        <w:rPr>
          <w:rFonts w:ascii="华文楷体" w:hAnsi="华文楷体"/>
          <w:sz w:val="24"/>
        </w:rPr>
        <w:t>企业经营场景主要是研发投入、采购备货、项目交付和客户回款，金融需求集中在授信融资、票据、供应链金融、跨境结算和现金管理。建议以数字财资作为主推产品，解决多账户、多主体和经营现金流可视化问题；配套跨境支付结算、跨境资金管理、外币存款和平安薪，兼顾海外回款、员工代发和集团账户管理，额度、期限、费率待沟通。</w:t>
      </w:r>
    </w:p>
    <w:p>
      <w:pPr>
        <w:spacing w:before="120" w:after="80"/>
      </w:pPr>
      <w:r>
        <w:rPr>
          <w:rFonts w:ascii="华文楷体" w:hAnsi="华文楷体"/>
          <w:b/>
          <w:sz w:val="24"/>
        </w:rPr>
        <w:t>推荐产品组合：</w:t>
      </w:r>
    </w:p>
    <w:p>
      <w:pPr>
        <w:spacing w:before="0" w:after="80"/>
      </w:pPr>
      <w:r>
        <w:rPr>
          <w:rFonts w:ascii="华文楷体" w:hAnsi="华文楷体"/>
          <w:sz w:val="24"/>
        </w:rPr>
        <w:t>建议以数字财资作为主推产品，解决多账户、多主体和经营现金流可视化问题；配套跨境支付结算、跨境资金管理、外币存款和平安薪，兼顾海外回款、员工代发和集团账户管理，额度、期限、费率待沟通。</w:t>
      </w:r>
    </w:p>
    <w:p>
      <w:pPr>
        <w:spacing w:before="120" w:after="80"/>
      </w:pPr>
      <w:r>
        <w:rPr>
          <w:rFonts w:ascii="华文楷体" w:hAnsi="华文楷体"/>
          <w:b/>
          <w:sz w:val="24"/>
        </w:rPr>
        <w:t>风险提示：</w:t>
      </w:r>
    </w:p>
    <w:p>
      <w:pPr>
        <w:spacing w:before="0" w:after="80"/>
      </w:pPr>
      <w:r>
        <w:rPr>
          <w:rFonts w:ascii="华文楷体" w:hAnsi="华文楷体"/>
          <w:sz w:val="24"/>
        </w:rPr>
        <w:t>暂无明显公开风险，仍需结合征信、流水、财报、合同、客户结构、知识产权、供应商集中度和实地尽调确认。</w:t>
      </w:r>
    </w:p>
    <w:p>
      <w:pPr>
        <w:pStyle w:val="Heading3"/>
      </w:pPr>
      <w:r>
        <w:rPr>
          <w:rFonts w:ascii="华文楷体" w:hAnsi="华文楷体"/>
          <w:color w:val="000000"/>
        </w:rPr>
        <w:t>企业名称：杭州海康威视数字技术股份有限公司</w:t>
      </w:r>
    </w:p>
    <w:p>
      <w:pPr>
        <w:pStyle w:val="ListBullet"/>
        <w:spacing w:before="0" w:after="80"/>
      </w:pPr>
      <w:r>
        <w:rPr>
          <w:rFonts w:ascii="华文楷体" w:hAnsi="华文楷体"/>
          <w:sz w:val="24"/>
        </w:rPr>
        <w:t>推荐等级： 中</w:t>
      </w:r>
    </w:p>
    <w:p>
      <w:pPr>
        <w:pStyle w:val="ListBullet"/>
        <w:spacing w:before="0" w:after="80"/>
      </w:pPr>
      <w:r>
        <w:rPr>
          <w:rFonts w:ascii="华文楷体" w:hAnsi="华文楷体"/>
          <w:sz w:val="24"/>
        </w:rPr>
        <w:t>所属行业： AIoT/机器视觉/智能物联</w:t>
      </w:r>
    </w:p>
    <w:p>
      <w:pPr>
        <w:pStyle w:val="ListBullet"/>
        <w:spacing w:before="0" w:after="80"/>
      </w:pPr>
      <w:r>
        <w:rPr>
          <w:rFonts w:ascii="华文楷体" w:hAnsi="华文楷体"/>
          <w:sz w:val="24"/>
        </w:rPr>
        <w:t>所在地区： 杭州</w:t>
      </w:r>
    </w:p>
    <w:p>
      <w:pPr>
        <w:pStyle w:val="ListBullet"/>
        <w:spacing w:before="0" w:after="80"/>
      </w:pPr>
      <w:r>
        <w:rPr>
          <w:rFonts w:ascii="华文楷体" w:hAnsi="华文楷体"/>
          <w:sz w:val="24"/>
        </w:rPr>
        <w:t>产业链位置： 中游/智能硬件与视觉AI</w:t>
      </w:r>
    </w:p>
    <w:p>
      <w:pPr>
        <w:pStyle w:val="ListBullet"/>
        <w:spacing w:before="0" w:after="80"/>
      </w:pPr>
      <w:r>
        <w:rPr>
          <w:rFonts w:ascii="华文楷体" w:hAnsi="华文楷体"/>
          <w:sz w:val="24"/>
        </w:rPr>
        <w:t>推荐方向： 供应链金融/票据/现金管理/跨境结算</w:t>
      </w:r>
    </w:p>
    <w:p>
      <w:pPr>
        <w:spacing w:before="120" w:after="80"/>
      </w:pPr>
      <w:r>
        <w:rPr>
          <w:rFonts w:ascii="华文楷体" w:hAnsi="华文楷体"/>
          <w:b/>
          <w:sz w:val="24"/>
        </w:rPr>
        <w:t>企业关键信息：</w:t>
      </w:r>
    </w:p>
    <w:p>
      <w:pPr>
        <w:pStyle w:val="ListBullet"/>
        <w:spacing w:before="0" w:after="80"/>
      </w:pPr>
      <w:r>
        <w:rPr>
          <w:rFonts w:ascii="华文楷体" w:hAnsi="华文楷体"/>
          <w:sz w:val="24"/>
        </w:rPr>
        <w:t>基本情况： 公司为智能物联和视频感知龙头，产品覆盖感知设备、边缘智能、行业解决方案和机器人相关场景；最新订单与项目情况需结合公告核实。</w:t>
      </w:r>
    </w:p>
    <w:p>
      <w:pPr>
        <w:pStyle w:val="ListBullet"/>
        <w:spacing w:before="0" w:after="80"/>
      </w:pPr>
      <w:r>
        <w:rPr>
          <w:rFonts w:ascii="华文楷体" w:hAnsi="华文楷体"/>
          <w:sz w:val="24"/>
        </w:rPr>
        <w:t>高层与团队背景： 公开信息显示公司长期由专业经理人团队运营，核心管理层具备电子信息、自动化、安防和全球渠道经验；个别高管学校、导师信息待核实。</w:t>
      </w:r>
    </w:p>
    <w:p>
      <w:pPr>
        <w:pStyle w:val="ListBullet"/>
        <w:spacing w:before="0" w:after="80"/>
      </w:pPr>
      <w:r>
        <w:rPr>
          <w:rFonts w:ascii="华文楷体" w:hAnsi="华文楷体"/>
          <w:sz w:val="24"/>
        </w:rPr>
        <w:t>银行关注点： 公司产业链长、供应商多、海外业务复杂，银行可围绕核心企业供应链、票据池、跨境结算和资金管理做生态经营。</w:t>
      </w:r>
    </w:p>
    <w:p>
      <w:pPr>
        <w:spacing w:before="120" w:after="80"/>
      </w:pPr>
      <w:r>
        <w:rPr>
          <w:rFonts w:ascii="华文楷体" w:hAnsi="华文楷体"/>
          <w:b/>
          <w:sz w:val="24"/>
        </w:rPr>
        <w:t>推荐理由：</w:t>
      </w:r>
    </w:p>
    <w:p>
      <w:pPr>
        <w:pStyle w:val="ListBullet"/>
        <w:spacing w:before="0" w:after="80"/>
      </w:pPr>
      <w:r>
        <w:rPr>
          <w:rFonts w:ascii="华文楷体" w:hAnsi="华文楷体"/>
          <w:sz w:val="24"/>
        </w:rPr>
        <w:t>AI计量、模型可靠性和实体经济应用规范强化后，视觉AI与行业智能化解决方案需要更强的测试、合规和交付能力。</w:t>
      </w:r>
    </w:p>
    <w:p>
      <w:pPr>
        <w:pStyle w:val="ListBullet"/>
        <w:spacing w:before="0" w:after="80"/>
      </w:pPr>
      <w:r>
        <w:rPr>
          <w:rFonts w:ascii="华文楷体" w:hAnsi="华文楷体"/>
          <w:sz w:val="24"/>
        </w:rPr>
        <w:t>AI硬件和光通信出海景气提升，智能物联企业对供应链稳定、备货和账期管理要求提高。</w:t>
      </w:r>
    </w:p>
    <w:p>
      <w:pPr>
        <w:pStyle w:val="ListBullet"/>
        <w:spacing w:before="0" w:after="80"/>
      </w:pPr>
      <w:r>
        <w:rPr>
          <w:rFonts w:ascii="华文楷体" w:hAnsi="华文楷体"/>
          <w:sz w:val="24"/>
        </w:rPr>
        <w:t>核心企业可带动上下游批量获客，适合供应链金融和票据产品联动。</w:t>
      </w:r>
    </w:p>
    <w:p>
      <w:pPr>
        <w:spacing w:before="120" w:after="80"/>
      </w:pPr>
      <w:r>
        <w:rPr>
          <w:rFonts w:ascii="华文楷体" w:hAnsi="华文楷体"/>
          <w:b/>
          <w:sz w:val="24"/>
        </w:rPr>
        <w:t>银行展业机会：</w:t>
      </w:r>
    </w:p>
    <w:p>
      <w:pPr>
        <w:spacing w:before="0" w:after="80"/>
      </w:pPr>
      <w:r>
        <w:rPr>
          <w:rFonts w:ascii="华文楷体" w:hAnsi="华文楷体"/>
          <w:sz w:val="24"/>
        </w:rPr>
        <w:t>企业经营场景主要是研发投入、采购备货、项目交付和客户回款，金融需求集中在授信融资、票据、供应链金融、跨境结算和现金管理。建议以数字财资和资产池切入集团资金与票据管理；配套付融通、商票保贴、商票e贴、跨境支付结算和平安避险，围绕供应商账期、海外回款和汇率风险提供方案，额度、期限、费率待沟通。</w:t>
      </w:r>
    </w:p>
    <w:p>
      <w:pPr>
        <w:spacing w:before="120" w:after="80"/>
      </w:pPr>
      <w:r>
        <w:rPr>
          <w:rFonts w:ascii="华文楷体" w:hAnsi="华文楷体"/>
          <w:b/>
          <w:sz w:val="24"/>
        </w:rPr>
        <w:t>推荐产品组合：</w:t>
      </w:r>
    </w:p>
    <w:p>
      <w:pPr>
        <w:spacing w:before="0" w:after="80"/>
      </w:pPr>
      <w:r>
        <w:rPr>
          <w:rFonts w:ascii="华文楷体" w:hAnsi="华文楷体"/>
          <w:sz w:val="24"/>
        </w:rPr>
        <w:t>建议以数字财资和资产池切入集团资金与票据管理；配套付融通、商票保贴、商票e贴、跨境支付结算和平安避险，围绕供应商账期、海外回款和汇率风险提供方案，额度、期限、费率待沟通。</w:t>
      </w:r>
    </w:p>
    <w:p>
      <w:pPr>
        <w:spacing w:before="120" w:after="80"/>
      </w:pPr>
      <w:r>
        <w:rPr>
          <w:rFonts w:ascii="华文楷体" w:hAnsi="华文楷体"/>
          <w:b/>
          <w:sz w:val="24"/>
        </w:rPr>
        <w:t>风险提示：</w:t>
      </w:r>
    </w:p>
    <w:p>
      <w:pPr>
        <w:spacing w:before="0" w:after="80"/>
      </w:pPr>
      <w:r>
        <w:rPr>
          <w:rFonts w:ascii="华文楷体" w:hAnsi="华文楷体"/>
          <w:sz w:val="24"/>
        </w:rPr>
        <w:t>暂无明显公开风险，仍需结合征信、流水、财报、合同、客户结构、知识产权、供应商集中度和实地尽调确认。</w:t>
      </w:r>
    </w:p>
    <w:p>
      <w:pPr>
        <w:pStyle w:val="Heading3"/>
      </w:pPr>
      <w:r>
        <w:rPr>
          <w:rFonts w:ascii="华文楷体" w:hAnsi="华文楷体"/>
          <w:color w:val="000000"/>
        </w:rPr>
        <w:t>企业名称：浙江大华技术股份有限公司</w:t>
      </w:r>
    </w:p>
    <w:p>
      <w:pPr>
        <w:pStyle w:val="ListBullet"/>
        <w:spacing w:before="0" w:after="80"/>
      </w:pPr>
      <w:r>
        <w:rPr>
          <w:rFonts w:ascii="华文楷体" w:hAnsi="华文楷体"/>
          <w:sz w:val="24"/>
        </w:rPr>
        <w:t>推荐等级： 中</w:t>
      </w:r>
    </w:p>
    <w:p>
      <w:pPr>
        <w:pStyle w:val="ListBullet"/>
        <w:spacing w:before="0" w:after="80"/>
      </w:pPr>
      <w:r>
        <w:rPr>
          <w:rFonts w:ascii="华文楷体" w:hAnsi="华文楷体"/>
          <w:sz w:val="24"/>
        </w:rPr>
        <w:t>所属行业： AIoT/机器视觉/智慧物联</w:t>
      </w:r>
    </w:p>
    <w:p>
      <w:pPr>
        <w:pStyle w:val="ListBullet"/>
        <w:spacing w:before="0" w:after="80"/>
      </w:pPr>
      <w:r>
        <w:rPr>
          <w:rFonts w:ascii="华文楷体" w:hAnsi="华文楷体"/>
          <w:sz w:val="24"/>
        </w:rPr>
        <w:t>所在地区： 杭州</w:t>
      </w:r>
    </w:p>
    <w:p>
      <w:pPr>
        <w:pStyle w:val="ListBullet"/>
        <w:spacing w:before="0" w:after="80"/>
      </w:pPr>
      <w:r>
        <w:rPr>
          <w:rFonts w:ascii="华文楷体" w:hAnsi="华文楷体"/>
          <w:sz w:val="24"/>
        </w:rPr>
        <w:t>产业链位置： 中游/智能硬件与行业方案</w:t>
      </w:r>
    </w:p>
    <w:p>
      <w:pPr>
        <w:pStyle w:val="ListBullet"/>
        <w:spacing w:before="0" w:after="80"/>
      </w:pPr>
      <w:r>
        <w:rPr>
          <w:rFonts w:ascii="华文楷体" w:hAnsi="华文楷体"/>
          <w:sz w:val="24"/>
        </w:rPr>
        <w:t>推荐方向： 票据/供应链金融/跨境结算/现金管理</w:t>
      </w:r>
    </w:p>
    <w:p>
      <w:pPr>
        <w:spacing w:before="120" w:after="80"/>
      </w:pPr>
      <w:r>
        <w:rPr>
          <w:rFonts w:ascii="华文楷体" w:hAnsi="华文楷体"/>
          <w:b/>
          <w:sz w:val="24"/>
        </w:rPr>
        <w:t>企业关键信息：</w:t>
      </w:r>
    </w:p>
    <w:p>
      <w:pPr>
        <w:pStyle w:val="ListBullet"/>
        <w:spacing w:before="0" w:after="80"/>
      </w:pPr>
      <w:r>
        <w:rPr>
          <w:rFonts w:ascii="华文楷体" w:hAnsi="华文楷体"/>
          <w:sz w:val="24"/>
        </w:rPr>
        <w:t>基本情况： 公司聚焦智慧物联、机器视觉和行业数字化解决方案，覆盖城市、企业、交通等场景；最新经营数据需以公告核实。</w:t>
      </w:r>
    </w:p>
    <w:p>
      <w:pPr>
        <w:pStyle w:val="ListBullet"/>
        <w:spacing w:before="0" w:after="80"/>
      </w:pPr>
      <w:r>
        <w:rPr>
          <w:rFonts w:ascii="华文楷体" w:hAnsi="华文楷体"/>
          <w:sz w:val="24"/>
        </w:rPr>
        <w:t>高层与团队背景： 公开资料显示管理团队具备电子信息、安防、渠道和行业解决方案经验；详细教育背景、导师和核心技术负责人履历待核实。</w:t>
      </w:r>
    </w:p>
    <w:p>
      <w:pPr>
        <w:pStyle w:val="ListBullet"/>
        <w:spacing w:before="0" w:after="80"/>
      </w:pPr>
      <w:r>
        <w:rPr>
          <w:rFonts w:ascii="华文楷体" w:hAnsi="华文楷体"/>
          <w:sz w:val="24"/>
        </w:rPr>
        <w:t>银行关注点： 智能硬件企业存在采购、库存、渠道账期和海外收付款需求，适合用票据、保理、跨境和资金管理工具提升周转。</w:t>
      </w:r>
    </w:p>
    <w:p>
      <w:pPr>
        <w:spacing w:before="120" w:after="80"/>
      </w:pPr>
      <w:r>
        <w:rPr>
          <w:rFonts w:ascii="华文楷体" w:hAnsi="华文楷体"/>
          <w:b/>
          <w:sz w:val="24"/>
        </w:rPr>
        <w:t>推荐理由：</w:t>
      </w:r>
    </w:p>
    <w:p>
      <w:pPr>
        <w:pStyle w:val="ListBullet"/>
        <w:spacing w:before="0" w:after="80"/>
      </w:pPr>
      <w:r>
        <w:rPr>
          <w:rFonts w:ascii="华文楷体" w:hAnsi="华文楷体"/>
          <w:sz w:val="24"/>
        </w:rPr>
        <w:t>AI从云端模型向边缘智能和行业场景落地，机器视觉、智能终端和行业解决方案需求具备延续性。</w:t>
      </w:r>
    </w:p>
    <w:p>
      <w:pPr>
        <w:pStyle w:val="ListBullet"/>
        <w:spacing w:before="0" w:after="80"/>
      </w:pPr>
      <w:r>
        <w:rPr>
          <w:rFonts w:ascii="华文楷体" w:hAnsi="华文楷体"/>
          <w:sz w:val="24"/>
        </w:rPr>
        <w:t>浙江制造业AI改造和宁波"AI+制造"方向将带来更多行业智能化项目机会。</w:t>
      </w:r>
    </w:p>
    <w:p>
      <w:pPr>
        <w:pStyle w:val="ListBullet"/>
        <w:spacing w:before="0" w:after="80"/>
      </w:pPr>
      <w:r>
        <w:rPr>
          <w:rFonts w:ascii="华文楷体" w:hAnsi="华文楷体"/>
          <w:sz w:val="24"/>
        </w:rPr>
        <w:t>若项目交付和渠道备货增加，应收账款与库存资金占用需要提前管理。</w:t>
      </w:r>
    </w:p>
    <w:p>
      <w:pPr>
        <w:spacing w:before="120" w:after="80"/>
      </w:pPr>
      <w:r>
        <w:rPr>
          <w:rFonts w:ascii="华文楷体" w:hAnsi="华文楷体"/>
          <w:b/>
          <w:sz w:val="24"/>
        </w:rPr>
        <w:t>银行展业机会：</w:t>
      </w:r>
    </w:p>
    <w:p>
      <w:pPr>
        <w:spacing w:before="0" w:after="80"/>
      </w:pPr>
      <w:r>
        <w:rPr>
          <w:rFonts w:ascii="华文楷体" w:hAnsi="华文楷体"/>
          <w:sz w:val="24"/>
        </w:rPr>
        <w:t>企业经营场景主要是研发投入、采购备货、项目交付和客户回款，金融需求集中在授信融资、票据、供应链金融、跨境结算和现金管理。建议以银票极速贴现、商票保贴或付融通切入供应商和渠道账期；配套短贷、数字财资、跨境支付结算和新银关通，服务备货、项目交付和海外收款，额度、期限、费率待沟通。</w:t>
      </w:r>
    </w:p>
    <w:p>
      <w:pPr>
        <w:spacing w:before="120" w:after="80"/>
      </w:pPr>
      <w:r>
        <w:rPr>
          <w:rFonts w:ascii="华文楷体" w:hAnsi="华文楷体"/>
          <w:b/>
          <w:sz w:val="24"/>
        </w:rPr>
        <w:t>推荐产品组合：</w:t>
      </w:r>
    </w:p>
    <w:p>
      <w:pPr>
        <w:spacing w:before="0" w:after="80"/>
      </w:pPr>
      <w:r>
        <w:rPr>
          <w:rFonts w:ascii="华文楷体" w:hAnsi="华文楷体"/>
          <w:sz w:val="24"/>
        </w:rPr>
        <w:t>建议以银票极速贴现、商票保贴或付融通切入供应商和渠道账期；配套短贷、数字财资、跨境支付结算和新银关通，服务备货、项目交付和海外收款，额度、期限、费率待沟通。</w:t>
      </w:r>
    </w:p>
    <w:p>
      <w:pPr>
        <w:spacing w:before="120" w:after="80"/>
      </w:pPr>
      <w:r>
        <w:rPr>
          <w:rFonts w:ascii="华文楷体" w:hAnsi="华文楷体"/>
          <w:b/>
          <w:sz w:val="24"/>
        </w:rPr>
        <w:t>风险提示：</w:t>
      </w:r>
    </w:p>
    <w:p>
      <w:pPr>
        <w:spacing w:before="0" w:after="80"/>
      </w:pPr>
      <w:r>
        <w:rPr>
          <w:rFonts w:ascii="华文楷体" w:hAnsi="华文楷体"/>
          <w:sz w:val="24"/>
        </w:rPr>
        <w:t>暂无明显公开风险，仍需结合征信、流水、财报、合同、客户结构、知识产权、供应商集中度和实地尽调确认。</w:t>
      </w:r>
    </w:p>
    <w:p>
      <w:pPr>
        <w:pStyle w:val="Heading2"/>
      </w:pPr>
      <w:r>
        <w:rPr>
          <w:rFonts w:ascii="华文楷体" w:hAnsi="华文楷体"/>
          <w:color w:val="000000"/>
        </w:rPr>
        <w:t>四、客户经理行动建议</w:t>
      </w:r>
    </w:p>
    <w:p>
      <w:pPr>
        <w:pStyle w:val="ListBullet"/>
        <w:spacing w:before="0" w:after="80"/>
      </w:pPr>
      <w:r>
        <w:rPr>
          <w:rFonts w:ascii="华文楷体" w:hAnsi="华文楷体"/>
          <w:sz w:val="24"/>
        </w:rPr>
        <w:t>今天优先拜访杭州宇树科技有限公司、杭州深度求索人工智能基础技术研究有限公司（DeepSeek）、杭州群核信息技术有限公司，主线围绕具身智能中试、算力研发投入和AI软件商业化。</w:t>
      </w:r>
    </w:p>
    <w:p>
      <w:pPr>
        <w:pStyle w:val="ListBullet"/>
        <w:spacing w:before="0" w:after="80"/>
      </w:pPr>
      <w:r>
        <w:rPr>
          <w:rFonts w:ascii="华文楷体" w:hAnsi="华文楷体"/>
          <w:sz w:val="24"/>
        </w:rPr>
        <w:t>对杭州海康威视数字技术股份有限公司、浙江大华技术股份有限公司，先从供应链账期、票据池、海外回款和集团资金管理切入。</w:t>
      </w:r>
    </w:p>
    <w:p>
      <w:pPr>
        <w:pStyle w:val="ListBullet"/>
        <w:spacing w:before="0" w:after="80"/>
      </w:pPr>
      <w:r>
        <w:rPr>
          <w:rFonts w:ascii="华文楷体" w:hAnsi="华文楷体"/>
          <w:sz w:val="24"/>
        </w:rPr>
        <w:t>拜访前准备"科创贷/技术更新改造再贷款+平安租赁+票据/付融通+数字财资"的组合方案，避免单点推产品。</w:t>
      </w:r>
    </w:p>
    <w:p>
      <w:pPr>
        <w:pStyle w:val="ListBullet"/>
        <w:spacing w:before="0" w:after="80"/>
      </w:pPr>
      <w:r>
        <w:rPr>
          <w:rFonts w:ascii="华文楷体" w:hAnsi="华文楷体"/>
          <w:sz w:val="24"/>
        </w:rPr>
        <w:t>内部建议联动普惠金融、交易银行、公司网络金融、跨境和租赁团队，按"企业经营场景→资金痛点→产品组合"出一页纸方案。</w:t>
      </w:r>
    </w:p>
    <w:p>
      <w:pPr>
        <w:pStyle w:val="ListBullet"/>
        <w:spacing w:before="0" w:after="80"/>
      </w:pPr>
      <w:r>
        <w:rPr>
          <w:rFonts w:ascii="华文楷体" w:hAnsi="华文楷体"/>
          <w:sz w:val="24"/>
        </w:rPr>
        <w:t>风控侧重点核查订单真实性、回款周期、供应商集中度、在手现金、研发资本化、海外客户和股权融资进展。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华文楷体" w:hAnsi="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