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TKaiti" w:hAnsi="STKaiti" w:eastAsia="华文楷体"/>
          <w:sz w:val="24"/>
        </w:rPr>
        <w:t>智能制造行业商机周报</w:t>
      </w:r>
    </w:p>
    <w:p>
      <w:r>
        <w:rPr>
          <w:rFonts w:ascii="STKaiti" w:hAnsi="STKaiti" w:eastAsia="华文楷体"/>
          <w:sz w:val="24"/>
        </w:rPr>
        <w:t>覆盖周期: 2026.05.22-05.28</w:t>
      </w:r>
    </w:p>
    <w:p>
      <w:r>
        <w:rPr>
          <w:rFonts w:ascii="STKaiti" w:hAnsi="STKaiti" w:eastAsia="华文楷体"/>
          <w:sz w:val="24"/>
        </w:rPr>
        <w:t>聚焦区域: 浙江</w:t>
      </w:r>
    </w:p>
    <w:p>
      <w:r>
        <w:rPr>
          <w:rFonts w:ascii="STKaiti" w:hAnsi="STKaiti" w:eastAsia="华文楷体"/>
          <w:sz w:val="24"/>
        </w:rPr>
        <w:t>资料来源: 新华网、央视网、人民网、证券日报、第一财经、杭州日报、杭州宣传网、中新网、公开上市公司公告与iFinD公告语义检索、企业官网及公开资料。</w:t>
      </w:r>
    </w:p>
    <w:p>
      <w:pPr>
        <w:pStyle w:val="Heading1"/>
      </w:pPr>
      <w:r>
        <w:rPr>
          <w:rFonts w:ascii="STKaiti" w:hAnsi="STKaiti" w:eastAsia="华文楷体"/>
          <w:sz w:val="24"/>
        </w:rPr>
        <w:t>一、行业动态与发展总结</w:t>
      </w:r>
    </w:p>
    <w:p>
      <w:pPr>
        <w:pStyle w:val="Heading2"/>
      </w:pPr>
      <w:r>
        <w:rPr>
          <w:rFonts w:ascii="STKaiti" w:hAnsi="STKaiti" w:eastAsia="华文楷体"/>
          <w:sz w:val="24"/>
        </w:rPr>
        <w:t>1. 近期政策变动</w:t>
      </w:r>
    </w:p>
    <w:p>
      <w:r>
        <w:rPr>
          <w:rFonts w:ascii="STKaiti" w:hAnsi="STKaiti" w:eastAsia="华文楷体"/>
          <w:sz w:val="24"/>
        </w:rPr>
        <w:t>本周全国层面的核心信号是人形机器人从“样机展示”进入“可追溯、可监管、可规模交付”的产业化准备阶段。5月22日，全国首个人形机器人全生命周期管理服务平台在北京发布，平台为每台机器人赋予唯一编码，覆盖研发生产、市场准入、销售使用、报废回收等环节，并已覆盖全国百余家人形机器人企业、数百个产品型号和数万台机器人。该信号对银行的含义不是单纯看机器人热度，而是产业链开始建立质量、责任和数据标准，后续整机厂、零部件厂、场景运营商的订单、备货、质保和售后服务资金需求会更容易被核验。</w:t>
      </w:r>
    </w:p>
    <w:p>
      <w:r>
        <w:rPr>
          <w:rFonts w:ascii="STKaiti" w:hAnsi="STKaiti" w:eastAsia="华文楷体"/>
          <w:sz w:val="24"/>
        </w:rPr>
        <w:t>“人工智能+制造”仍是各地制造业升级的主线。近期多地围绕智能工厂、无人工厂、灯塔工厂、工业智能体、机器视觉质检等方向发布行动方案或规划，政策支持点集中在算力、数据、场景开放、中试验证、设备更新和智能化改造。全国政策取向已经从泛泛鼓励数字化转型，转向要求企业在真实产线中形成可验收的效率、良率、安全和能耗改善。</w:t>
      </w:r>
    </w:p>
    <w:p>
      <w:r>
        <w:rPr>
          <w:rFonts w:ascii="STKaiti" w:hAnsi="STKaiti" w:eastAsia="华文楷体"/>
          <w:sz w:val="24"/>
        </w:rPr>
        <w:t>综合影响闭环: 政策信号指向“标准化治理+真实场景落地+设备更新”。经营含义是智能制造企业需要扩大研发、中试、试生产、备货和渠道服务投入；下游制造企业则会加快设备更新、产线改造和智能质检部署。金融需求集中在流动资金、设备融资、票据贴现、订单融资、保理和现金管理。客户经理应优先围绕“是否新增中试/量产订单、是否承担设备更新项目、是否进入核心客户供应链、应收账期是否拉长”四个问题切入。</w:t>
      </w:r>
    </w:p>
    <w:p>
      <w:pPr>
        <w:pStyle w:val="Heading2"/>
      </w:pPr>
      <w:r>
        <w:rPr>
          <w:rFonts w:ascii="STKaiti" w:hAnsi="STKaiti" w:eastAsia="华文楷体"/>
          <w:sz w:val="24"/>
        </w:rPr>
        <w:t>2. 政府规划与产业方向</w:t>
      </w:r>
    </w:p>
    <w:p>
      <w:r>
        <w:rPr>
          <w:rFonts w:ascii="STKaiti" w:hAnsi="STKaiti" w:eastAsia="华文楷体"/>
          <w:sz w:val="24"/>
        </w:rPr>
        <w:t>国家层面未来产业方向继续把机器人、具身智能、智能制造装备、工业软件和工业互联网作为制造业新质生产力的重要抓手。人形机器人编码和全生命周期平台的上线，意味着未来产品准入、质量追溯、责任认定和数据资产管理会成为行业基础设施，利好具备标准化量产、供应链管控和场景交付能力的企业。</w:t>
      </w:r>
    </w:p>
    <w:p>
      <w:r>
        <w:rPr>
          <w:rFonts w:ascii="STKaiti" w:hAnsi="STKaiti" w:eastAsia="华文楷体"/>
          <w:sz w:val="24"/>
        </w:rPr>
        <w:t>设备更新和技术改造仍是制造业投资的重要政策工具。对于数控机床、工业机器人、机器视觉、工业软件和智能物流企业，政策带来的不是一次性补贴，而是客户采购决策的确定性提升。能绑定汽车零部件、新能源、电子制造、医药美妆、仓储物流等场景的企业，更容易形成订单和回款闭环。</w:t>
      </w:r>
    </w:p>
    <w:p>
      <w:pPr>
        <w:pStyle w:val="Heading2"/>
      </w:pPr>
      <w:r>
        <w:rPr>
          <w:rFonts w:ascii="STKaiti" w:hAnsi="STKaiti" w:eastAsia="华文楷体"/>
          <w:sz w:val="24"/>
        </w:rPr>
        <w:t>3. 行业发展趋势</w:t>
      </w:r>
    </w:p>
    <w:p>
      <w:r>
        <w:rPr>
          <w:rFonts w:ascii="STKaiti" w:hAnsi="STKaiti" w:eastAsia="华文楷体"/>
          <w:sz w:val="24"/>
        </w:rPr>
        <w:t>智能制造行业处于结构性上行阶段，但内部明显分化。具身智能、人形机器人、机器视觉、智能质检和工业AI处于高景气赛道，订单弹性大但商业模式仍需验证；传统自动化装备、CNC和系统集成进入“以价换量+方案能力竞争”阶段，毛利和回款压力需要重点关注；工业软件从单点MES/PLM采购转向研产供销一体化，信创适配、数据治理和AI能力成为选型重点。</w:t>
      </w:r>
    </w:p>
    <w:p>
      <w:r>
        <w:rPr>
          <w:rFonts w:ascii="STKaiti" w:hAnsi="STKaiti" w:eastAsia="华文楷体"/>
          <w:sz w:val="24"/>
        </w:rPr>
        <w:t>银行更应关注三类企业: 一是有量产或中试能力的整机/核心部件企业；二是进入新能源车、半导体、医药、美妆、电子制造等高景气客户体系的装备企业；三是具备核心企业牵引能力的平台型或链主型企业。风险端重点看研发费用前置、客户集中度、应收账款、存货、质保责任和订单真实性。</w:t>
      </w:r>
    </w:p>
    <w:p>
      <w:pPr>
        <w:pStyle w:val="Heading2"/>
      </w:pPr>
      <w:r>
        <w:rPr>
          <w:rFonts w:ascii="STKaiti" w:hAnsi="STKaiti" w:eastAsia="华文楷体"/>
          <w:sz w:val="24"/>
        </w:rPr>
        <w:t>4. 上下游产业链动态</w:t>
      </w:r>
    </w:p>
    <w:p>
      <w:r>
        <w:rPr>
          <w:rFonts w:ascii="STKaiti" w:hAnsi="STKaiti" w:eastAsia="华文楷体"/>
          <w:sz w:val="24"/>
        </w:rPr>
        <w:t>上游核心零部件包括伺服电机、减速器、轴承、传感器、控制器、视觉模组和边缘计算硬件。长三角在机器人零部件上的快速交付能力正在强化，温州、衢州、宁波、台州等地的通用零部件和精密制造基础，对机器人和智能装备企业形成供应链支撑。</w:t>
      </w:r>
    </w:p>
    <w:p>
      <w:r>
        <w:rPr>
          <w:rFonts w:ascii="STKaiti" w:hAnsi="STKaiti" w:eastAsia="华文楷体"/>
          <w:sz w:val="24"/>
        </w:rPr>
        <w:t>中游企业分化为整机厂、系统集成商、工业软件商和场景服务商。埃夫特拟以约10.74亿元收购精密流体控制设备商盛普股份，说明工业机器人竞争正在从单纯本体销售转向“机器人+工艺包+工作站”的场景方案能力。下游需求主要来自新能源汽车、光伏、电子制造、医药美妆、公共安全巡检、仓储物流等行业，资金占用集中在项目交付期、应收账款账期和备货周期。</w:t>
      </w:r>
    </w:p>
    <w:p>
      <w:pPr>
        <w:pStyle w:val="Heading1"/>
      </w:pPr>
      <w:r>
        <w:rPr>
          <w:rFonts w:ascii="STKaiti" w:hAnsi="STKaiti" w:eastAsia="华文楷体"/>
          <w:sz w:val="24"/>
        </w:rPr>
        <w:t>二、浙江地区动态与区域机会</w:t>
      </w:r>
    </w:p>
    <w:p>
      <w:pPr>
        <w:pStyle w:val="Heading2"/>
      </w:pPr>
      <w:r>
        <w:rPr>
          <w:rFonts w:ascii="STKaiti" w:hAnsi="STKaiti" w:eastAsia="华文楷体"/>
          <w:sz w:val="24"/>
        </w:rPr>
        <w:t>1. 浙江政策与政府规划</w:t>
      </w:r>
    </w:p>
    <w:p>
      <w:r>
        <w:rPr>
          <w:rFonts w:ascii="STKaiti" w:hAnsi="STKaiti" w:eastAsia="华文楷体"/>
          <w:sz w:val="24"/>
        </w:rPr>
        <w:t>浙江本周最重要的区域信号集中在杭州具身智能机器人产业。5月1日起，《杭州市促进具身智能机器人产业发展条例》正式施行，这是全国首部聚焦具身智能机器人产业的地方性法规，明确产业边界、场景开放、数据治理、伦理安全、统计监测和产业服务等制度安排。杭州已集聚宇树科技、云深处科技等机器人相关企业，形成算法、运动控制、整机制造、场景应用和服务运营链条。</w:t>
      </w:r>
    </w:p>
    <w:p>
      <w:r>
        <w:rPr>
          <w:rFonts w:ascii="STKaiti" w:hAnsi="STKaiti" w:eastAsia="华文楷体"/>
          <w:sz w:val="24"/>
        </w:rPr>
        <w:t>杭州近期还围绕国家人工智能应用中试基地和具身智能融合创新枢纽推进场景开放、算力支持和产业瞭望机制。公开信息显示，杭州正在通过算力券、公共算力网络、数据交易和中试基地，降低具身智能企业训练、验证和场景落地成本。对银行而言，政策机会不只是龙头企业融资，更包括中试基地周边的零部件、数据采集、场景运营、检验检测、系统集成和供应链服务企业。</w:t>
      </w:r>
    </w:p>
    <w:p>
      <w:pPr>
        <w:pStyle w:val="Heading2"/>
      </w:pPr>
      <w:r>
        <w:rPr>
          <w:rFonts w:ascii="STKaiti" w:hAnsi="STKaiti" w:eastAsia="华文楷体"/>
          <w:sz w:val="24"/>
        </w:rPr>
        <w:t>2. 浙江重点产业与区域机会</w:t>
      </w:r>
    </w:p>
    <w:p>
      <w:r>
        <w:rPr>
          <w:rFonts w:ascii="STKaiti" w:hAnsi="STKaiti" w:eastAsia="华文楷体"/>
          <w:sz w:val="24"/>
        </w:rPr>
        <w:t>浙江“415X”先进制造业集群与智能制造高度重合。杭州适合扫客具身智能整机、算法、机器视觉、检测认证和场景运营企业；宁波适合关注智能制造装备、工业具身智能、汽车零部件和精密制造；温州、台州、衢州适合关注轴承、伺服、减速器、泵阀、电机、模具和精密加工企业；嘉兴、湖州、绍兴可关注新能源、电子制造、智能物流和工业软件落地场景。</w:t>
      </w:r>
    </w:p>
    <w:p>
      <w:r>
        <w:rPr>
          <w:rFonts w:ascii="STKaiti" w:hAnsi="STKaiti" w:eastAsia="华文楷体"/>
          <w:sz w:val="24"/>
        </w:rPr>
        <w:t>长三角机器人产业链“3小时交付”现象说明浙江零部件企业正在进入更短周期、更高频次的供货模式。订单快、交付快通常意味着企业需要更灵活的短贷、票据贴现、供应链金融和现金管理工具，也需要银行提前识别核心客户、订单真实性和回款路径。</w:t>
      </w:r>
    </w:p>
    <w:p>
      <w:pPr>
        <w:pStyle w:val="Heading2"/>
      </w:pPr>
      <w:r>
        <w:rPr>
          <w:rFonts w:ascii="STKaiti" w:hAnsi="STKaiti" w:eastAsia="华文楷体"/>
          <w:sz w:val="24"/>
        </w:rPr>
        <w:t>3. 浙江上下游产业链动态</w:t>
      </w:r>
    </w:p>
    <w:p>
      <w:r>
        <w:rPr>
          <w:rFonts w:ascii="STKaiti" w:hAnsi="STKaiti" w:eastAsia="华文楷体"/>
          <w:sz w:val="24"/>
        </w:rPr>
        <w:t>浙江上游零部件优势在轴承、伺服电机、传感器、精密加工、模具和通用机械。中游以杭州具身智能企业、宁波智能制造装备企业、衢州工控部件企业为代表，下游覆盖汽车零部件、新能源、工业巡检、公共安全、仓储物流、医药美妆和电子制造。</w:t>
      </w:r>
    </w:p>
    <w:p>
      <w:r>
        <w:rPr>
          <w:rFonts w:ascii="STKaiti" w:hAnsi="STKaiti" w:eastAsia="华文楷体"/>
          <w:sz w:val="24"/>
        </w:rPr>
        <w:t>资金占用较大的环节包括: 一是机器人整机企业的新产品研发和备货；二是装备集成企业的项目垫资和验收回款；三是核心零部件供应商的订单备料；四是出口或跨区域交付企业的跨境结算和汇率管理。适合批量切入的链条是“机器人整机/装备链主+核心零部件供应商+场景运营商”。</w:t>
      </w:r>
    </w:p>
    <w:p>
      <w:pPr>
        <w:pStyle w:val="Heading2"/>
      </w:pPr>
      <w:r>
        <w:rPr>
          <w:rFonts w:ascii="STKaiti" w:hAnsi="STKaiti" w:eastAsia="华文楷体"/>
          <w:sz w:val="24"/>
        </w:rPr>
        <w:t>4. 银行展业机会</w:t>
      </w:r>
    </w:p>
    <w:p>
      <w:r>
        <w:rPr>
          <w:rFonts w:ascii="STKaiti" w:hAnsi="STKaiti" w:eastAsia="华文楷体"/>
          <w:sz w:val="24"/>
        </w:rPr>
        <w:t>1. 杭州具身智能链主企业: 以流动资金、科技创新和技术更新改造再贷款、数字财资、平安薪切入，重点服务研发扩张、中试量产和团队增长。</w:t>
      </w:r>
    </w:p>
    <w:p>
      <w:r>
        <w:rPr>
          <w:rFonts w:ascii="STKaiti" w:hAnsi="STKaiti" w:eastAsia="华文楷体"/>
          <w:sz w:val="24"/>
        </w:rPr>
        <w:t>2. 宁波智能制造装备企业: 围绕整机代工、工业AI、机器视觉和海外客户，配置短贷、银票贴现、国内信用证、跨境支付结算和跨境贸易金融。</w:t>
      </w:r>
    </w:p>
    <w:p>
      <w:r>
        <w:rPr>
          <w:rFonts w:ascii="STKaiti" w:hAnsi="STKaiti" w:eastAsia="华文楷体"/>
          <w:sz w:val="24"/>
        </w:rPr>
        <w:t>3. 温州/衢州/台州零部件企业: 依托核心客户订单，推进订单融资、付融通、商票保贴、商票e贴和普惠金融场景化方案。</w:t>
      </w:r>
    </w:p>
    <w:p>
      <w:r>
        <w:rPr>
          <w:rFonts w:ascii="STKaiti" w:hAnsi="STKaiti" w:eastAsia="华文楷体"/>
          <w:sz w:val="24"/>
        </w:rPr>
        <w:t>4. 设备更新和技改项目客户: 对有智能产线改造计划的制造企业，组合科技创新和技术更新改造再贷款、平安租赁、资产池和数字财资。</w:t>
      </w:r>
    </w:p>
    <w:p>
      <w:pPr>
        <w:pStyle w:val="Heading1"/>
      </w:pPr>
      <w:r>
        <w:rPr>
          <w:rFonts w:ascii="STKaiti" w:hAnsi="STKaiti" w:eastAsia="华文楷体"/>
          <w:sz w:val="24"/>
        </w:rPr>
        <w:t>三、重点企业推荐</w:t>
      </w:r>
    </w:p>
    <w:p>
      <w:pPr>
        <w:pStyle w:val="Heading2"/>
      </w:pPr>
      <w:r>
        <w:rPr>
          <w:rFonts w:ascii="STKaiti" w:hAnsi="STKaiti" w:eastAsia="华文楷体"/>
          <w:sz w:val="24"/>
        </w:rPr>
        <w:t>企业名称: 杭州宇树科技股份有限公司</w:t>
      </w:r>
    </w:p>
    <w:p>
      <w:r>
        <w:rPr>
          <w:rFonts w:ascii="STKaiti" w:hAnsi="STKaiti" w:eastAsia="华文楷体"/>
          <w:sz w:val="24"/>
        </w:rPr>
        <w:t>推荐等级: 高</w:t>
      </w:r>
    </w:p>
    <w:p>
      <w:r>
        <w:rPr>
          <w:rFonts w:ascii="STKaiti" w:hAnsi="STKaiti" w:eastAsia="华文楷体"/>
          <w:sz w:val="24"/>
        </w:rPr>
        <w:t>所属行业: 具身智能机器人/人形机器人</w:t>
      </w:r>
    </w:p>
    <w:p>
      <w:r>
        <w:rPr>
          <w:rFonts w:ascii="STKaiti" w:hAnsi="STKaiti" w:eastAsia="华文楷体"/>
          <w:sz w:val="24"/>
        </w:rPr>
        <w:t>所在地区: 杭州</w:t>
      </w:r>
    </w:p>
    <w:p>
      <w:r>
        <w:rPr>
          <w:rFonts w:ascii="STKaiti" w:hAnsi="STKaiti" w:eastAsia="华文楷体"/>
          <w:sz w:val="24"/>
        </w:rPr>
        <w:t>产业链位置: 中游整机厂</w:t>
      </w:r>
    </w:p>
    <w:p>
      <w:r>
        <w:rPr>
          <w:rFonts w:ascii="STKaiti" w:hAnsi="STKaiti" w:eastAsia="华文楷体"/>
          <w:sz w:val="24"/>
        </w:rPr>
        <w:t>推荐方向: 流动资金 / 供应链金融 / 现金管理 / 代发 / 综合金融</w:t>
      </w:r>
    </w:p>
    <w:p>
      <w:r>
        <w:rPr>
          <w:rFonts w:ascii="STKaiti" w:hAnsi="STKaiti" w:eastAsia="华文楷体"/>
          <w:sz w:val="24"/>
        </w:rPr>
        <w:t>企业关键信息:</w:t>
      </w:r>
    </w:p>
    <w:p>
      <w:r>
        <w:rPr>
          <w:rFonts w:ascii="STKaiti" w:hAnsi="STKaiti" w:eastAsia="华文楷体"/>
          <w:sz w:val="24"/>
        </w:rPr>
        <w:t>基本情况: 公司总部位于杭州，主营四足机器人、人形机器人、机械臂等通用机器人产品，处于具身智能整机和运动控制核心环节。公开信息显示，公司IPO审核进程进入关键节点，四足机器人与人形机器人收入增长较快。</w:t>
      </w:r>
    </w:p>
    <w:p>
      <w:r>
        <w:rPr>
          <w:rFonts w:ascii="STKaiti" w:hAnsi="STKaiti" w:eastAsia="华文楷体"/>
          <w:sz w:val="24"/>
        </w:rPr>
        <w:t>高层与团队背景: 创始人兼CEO王兴兴为浙江宁波余姚人，本科就读浙江理工大学机械电子工程相关专业，研究生毕业于上海大学机械工程专业，曾有大疆工作经历，公开资料显示其硕士阶段即开发四足机器人原型。导师信息公开资料有限，写待核实。</w:t>
      </w:r>
    </w:p>
    <w:p>
      <w:r>
        <w:rPr>
          <w:rFonts w:ascii="STKaiti" w:hAnsi="STKaiti" w:eastAsia="华文楷体"/>
          <w:sz w:val="24"/>
        </w:rPr>
        <w:t>银行关注点: 创始人技术背景强、产品量产认知深，IPO节点提升融资和规范化需求；研发扩张、供应链备货、员工增长和上市前后资金管理是主要切入口。</w:t>
      </w:r>
    </w:p>
    <w:p>
      <w:r>
        <w:rPr>
          <w:rFonts w:ascii="STKaiti" w:hAnsi="STKaiti" w:eastAsia="华文楷体"/>
          <w:sz w:val="24"/>
        </w:rPr>
        <w:t>推荐理由:</w:t>
      </w:r>
    </w:p>
    <w:p>
      <w:r>
        <w:rPr>
          <w:rFonts w:ascii="STKaiti" w:hAnsi="STKaiti" w:eastAsia="华文楷体"/>
          <w:sz w:val="24"/>
        </w:rPr>
        <w:t>杭州具身智能法规、中试基地和场景开放政策直接利好本地整机龙头。</w:t>
      </w:r>
    </w:p>
    <w:p>
      <w:r>
        <w:rPr>
          <w:rFonts w:ascii="STKaiti" w:hAnsi="STKaiti" w:eastAsia="华文楷体"/>
          <w:sz w:val="24"/>
        </w:rPr>
        <w:t>人形机器人全生命周期编码平台提高行业准入和质量追溯要求，利好具备规模交付和标准化能力的企业。</w:t>
      </w:r>
    </w:p>
    <w:p>
      <w:r>
        <w:rPr>
          <w:rFonts w:ascii="STKaiti" w:hAnsi="STKaiti" w:eastAsia="华文楷体"/>
          <w:sz w:val="24"/>
        </w:rPr>
        <w:t>公司处于资本市场关注期，客户经理可围绕上市前后账户、结算、薪酬、现金管理和供应链协同提前介入。</w:t>
      </w:r>
    </w:p>
    <w:p>
      <w:r>
        <w:rPr>
          <w:rFonts w:ascii="STKaiti" w:hAnsi="STKaiti" w:eastAsia="华文楷体"/>
          <w:sz w:val="24"/>
        </w:rPr>
        <w:t>银行展业机会:</w:t>
      </w:r>
    </w:p>
    <w:p>
      <w:r>
        <w:rPr>
          <w:rFonts w:ascii="STKaiti" w:hAnsi="STKaiti" w:eastAsia="华文楷体"/>
          <w:sz w:val="24"/>
        </w:rPr>
        <w:t>企业经营场景是研发投入增加、产品迭代快、供应商备货和员工规模扩张。金融需求包括短期流动资金、供应商付款效率、账户归集、代发和综合金融服务。平安银行可用短贷、数字财资、资产池、平安薪、订单融资和付融通组合切入，额度、期限和准入条件待沟通。</w:t>
      </w:r>
    </w:p>
    <w:p>
      <w:r>
        <w:rPr>
          <w:rFonts w:ascii="STKaiti" w:hAnsi="STKaiti" w:eastAsia="华文楷体"/>
          <w:sz w:val="24"/>
        </w:rPr>
        <w:t>推荐产品组合: 建议以数字财资和短贷切入，解决企业研发、备货和日常经营资金管理需求；配套使用资产池、平安薪、订单融资和付融通，用于供应商协同、票据资产管理和员工服务。涉及额度、期限、费率和准入条件均待沟通。</w:t>
      </w:r>
    </w:p>
    <w:p>
      <w:r>
        <w:rPr>
          <w:rFonts w:ascii="STKaiti" w:hAnsi="STKaiti" w:eastAsia="华文楷体"/>
          <w:sz w:val="24"/>
        </w:rPr>
        <w:t>客户经理切入话术: “近期机器人行业开始进入标准化和规模化阶段，我们想了解贵司中试量产、供应链备货和账户管理上是否有新的资金安排，看看能否先从数字财资、短贷和供应商协同方案帮您做一版轻量配置。”</w:t>
      </w:r>
    </w:p>
    <w:p>
      <w:r>
        <w:rPr>
          <w:rFonts w:ascii="STKaiti" w:hAnsi="STKaiti" w:eastAsia="华文楷体"/>
          <w:sz w:val="24"/>
        </w:rPr>
        <w:t>风险提示: 人形机器人商业化仍处早期，研发投入和估值预期较高；需结合招股材料、订单真实性、客户结构、供应商账期、现金流和上市进程审慎评估。</w:t>
      </w:r>
    </w:p>
    <w:p>
      <w:pPr>
        <w:pStyle w:val="Heading2"/>
      </w:pPr>
      <w:r>
        <w:rPr>
          <w:rFonts w:ascii="STKaiti" w:hAnsi="STKaiti" w:eastAsia="华文楷体"/>
          <w:sz w:val="24"/>
        </w:rPr>
        <w:t>企业名称: 杭州云深处科技有限公司</w:t>
      </w:r>
    </w:p>
    <w:p>
      <w:r>
        <w:rPr>
          <w:rFonts w:ascii="STKaiti" w:hAnsi="STKaiti" w:eastAsia="华文楷体"/>
          <w:sz w:val="24"/>
        </w:rPr>
        <w:t>推荐等级: 高</w:t>
      </w:r>
    </w:p>
    <w:p>
      <w:r>
        <w:rPr>
          <w:rFonts w:ascii="STKaiti" w:hAnsi="STKaiti" w:eastAsia="华文楷体"/>
          <w:sz w:val="24"/>
        </w:rPr>
        <w:t>所属行业: 四足机器人/人形机器人/工业巡检</w:t>
      </w:r>
    </w:p>
    <w:p>
      <w:r>
        <w:rPr>
          <w:rFonts w:ascii="STKaiti" w:hAnsi="STKaiti" w:eastAsia="华文楷体"/>
          <w:sz w:val="24"/>
        </w:rPr>
        <w:t>所在地区: 杭州</w:t>
      </w:r>
    </w:p>
    <w:p>
      <w:r>
        <w:rPr>
          <w:rFonts w:ascii="STKaiti" w:hAnsi="STKaiti" w:eastAsia="华文楷体"/>
          <w:sz w:val="24"/>
        </w:rPr>
        <w:t>产业链位置: 中游整机厂/场景服务商</w:t>
      </w:r>
    </w:p>
    <w:p>
      <w:r>
        <w:rPr>
          <w:rFonts w:ascii="STKaiti" w:hAnsi="STKaiti" w:eastAsia="华文楷体"/>
          <w:sz w:val="24"/>
        </w:rPr>
        <w:t>推荐方向: 流动资金 / 供应链金融 / 票据 / 现金管理</w:t>
      </w:r>
    </w:p>
    <w:p>
      <w:r>
        <w:rPr>
          <w:rFonts w:ascii="STKaiti" w:hAnsi="STKaiti" w:eastAsia="华文楷体"/>
          <w:sz w:val="24"/>
        </w:rPr>
        <w:t>企业关键信息:</w:t>
      </w:r>
    </w:p>
    <w:p>
      <w:r>
        <w:rPr>
          <w:rFonts w:ascii="STKaiti" w:hAnsi="STKaiti" w:eastAsia="华文楷体"/>
          <w:sz w:val="24"/>
        </w:rPr>
        <w:t>基本情况: 公司成立于2017年，总部位于杭州，主要产品包括四足机器人和人形机器人，面向电力、消防、应急、工业巡检等复杂场景。</w:t>
      </w:r>
    </w:p>
    <w:p>
      <w:r>
        <w:rPr>
          <w:rFonts w:ascii="STKaiti" w:hAnsi="STKaiti" w:eastAsia="华文楷体"/>
          <w:sz w:val="24"/>
        </w:rPr>
        <w:t>高层与团队背景: 创始人朱秋国公开资料显示为浙江大学控制科学与工程专业博士，曾任浙江大学控制学院副教授、硕士生导师，长期从事仿人机器人、仿生机器人和机器智能研究，拥有高校科研和机器人竞赛资源。</w:t>
      </w:r>
    </w:p>
    <w:p>
      <w:r>
        <w:rPr>
          <w:rFonts w:ascii="STKaiti" w:hAnsi="STKaiti" w:eastAsia="华文楷体"/>
          <w:sz w:val="24"/>
        </w:rPr>
        <w:t>银行关注点: 高校科研转化属性明显，技术壁垒和场景理解较强；若政企、能源、电力、应急场景订单增加，可能形成项目垫资、应收账款和备货资金需求。</w:t>
      </w:r>
    </w:p>
    <w:p>
      <w:r>
        <w:rPr>
          <w:rFonts w:ascii="STKaiti" w:hAnsi="STKaiti" w:eastAsia="华文楷体"/>
          <w:sz w:val="24"/>
        </w:rPr>
        <w:t>推荐理由:</w:t>
      </w:r>
    </w:p>
    <w:p>
      <w:r>
        <w:rPr>
          <w:rFonts w:ascii="STKaiti" w:hAnsi="STKaiti" w:eastAsia="华文楷体"/>
          <w:sz w:val="24"/>
        </w:rPr>
        <w:t>杭州具身智能政策明确支持场景开放、数据和中试验证，契合云深处工业巡检和复杂场景机器人落地。</w:t>
      </w:r>
    </w:p>
    <w:p>
      <w:r>
        <w:rPr>
          <w:rFonts w:ascii="STKaiti" w:hAnsi="STKaiti" w:eastAsia="华文楷体"/>
          <w:sz w:val="24"/>
        </w:rPr>
        <w:t>企业兼具整机研发和行业场景能力，有机会成为杭州机器人生态中的场景型核心客户。</w:t>
      </w:r>
    </w:p>
    <w:p>
      <w:r>
        <w:rPr>
          <w:rFonts w:ascii="STKaiti" w:hAnsi="STKaiti" w:eastAsia="华文楷体"/>
          <w:sz w:val="24"/>
        </w:rPr>
        <w:t>工业巡检项目通常具备明确甲方和验收节点，适合银行围绕订单、票据和应收账款设计方案。</w:t>
      </w:r>
    </w:p>
    <w:p>
      <w:r>
        <w:rPr>
          <w:rFonts w:ascii="STKaiti" w:hAnsi="STKaiti" w:eastAsia="华文楷体"/>
          <w:sz w:val="24"/>
        </w:rPr>
        <w:t>银行展业机会:</w:t>
      </w:r>
    </w:p>
    <w:p>
      <w:r>
        <w:rPr>
          <w:rFonts w:ascii="STKaiti" w:hAnsi="STKaiti" w:eastAsia="华文楷体"/>
          <w:sz w:val="24"/>
        </w:rPr>
        <w:t>企业经营场景是政企和工业客户项目制交付，金融需求来自项目垫资、硬件备货、应收账款回款和供应商付款。可切入短贷、订单融资、商票保贴、商票e贴、付融通、数字财资和资产池。</w:t>
      </w:r>
    </w:p>
    <w:p>
      <w:r>
        <w:rPr>
          <w:rFonts w:ascii="STKaiti" w:hAnsi="STKaiti" w:eastAsia="华文楷体"/>
          <w:sz w:val="24"/>
        </w:rPr>
        <w:t>推荐产品组合: 建议以订单融资和短贷作为主推产品，解决项目交付期的垫资需求；配套商票保贴、商票e贴、付融通和数字财资，用于应收账款、票据和账户管理。额度、期限、费率和准入条件待沟通。</w:t>
      </w:r>
    </w:p>
    <w:p>
      <w:r>
        <w:rPr>
          <w:rFonts w:ascii="STKaiti" w:hAnsi="STKaiti" w:eastAsia="华文楷体"/>
          <w:sz w:val="24"/>
        </w:rPr>
        <w:t>客户经理切入话术: “贵司在工业巡检和复杂场景机器人上很有代表性，我们更想从项目交付和回款节奏入手，看看订单、票据和应收账款环节有没有能帮您降低资金占用的空间。”</w:t>
      </w:r>
    </w:p>
    <w:p>
      <w:r>
        <w:rPr>
          <w:rFonts w:ascii="STKaiti" w:hAnsi="STKaiti" w:eastAsia="华文楷体"/>
          <w:sz w:val="24"/>
        </w:rPr>
        <w:t>风险提示: 项目制业务可能存在验收周期长、客户集中和回款不均衡风险；需核实合同、验收条件、账期、政府或国企客户付款安排。</w:t>
      </w:r>
    </w:p>
    <w:p>
      <w:pPr>
        <w:pStyle w:val="Heading2"/>
      </w:pPr>
      <w:r>
        <w:rPr>
          <w:rFonts w:ascii="STKaiti" w:hAnsi="STKaiti" w:eastAsia="华文楷体"/>
          <w:sz w:val="24"/>
        </w:rPr>
        <w:t>企业名称: 宁波均普智能制造股份有限公司</w:t>
      </w:r>
    </w:p>
    <w:p>
      <w:r>
        <w:rPr>
          <w:rFonts w:ascii="STKaiti" w:hAnsi="STKaiti" w:eastAsia="华文楷体"/>
          <w:sz w:val="24"/>
        </w:rPr>
        <w:t>推荐等级: 高</w:t>
      </w:r>
    </w:p>
    <w:p>
      <w:r>
        <w:rPr>
          <w:rFonts w:ascii="STKaiti" w:hAnsi="STKaiti" w:eastAsia="华文楷体"/>
          <w:sz w:val="24"/>
        </w:rPr>
        <w:t>所属行业: 智能制造装备/工业AI/具身智能</w:t>
      </w:r>
    </w:p>
    <w:p>
      <w:r>
        <w:rPr>
          <w:rFonts w:ascii="STKaiti" w:hAnsi="STKaiti" w:eastAsia="华文楷体"/>
          <w:sz w:val="24"/>
        </w:rPr>
        <w:t>所在地区: 宁波</w:t>
      </w:r>
    </w:p>
    <w:p>
      <w:r>
        <w:rPr>
          <w:rFonts w:ascii="STKaiti" w:hAnsi="STKaiti" w:eastAsia="华文楷体"/>
          <w:sz w:val="24"/>
        </w:rPr>
        <w:t>产业链位置: 中游装备商/平台型企业</w:t>
      </w:r>
    </w:p>
    <w:p>
      <w:r>
        <w:rPr>
          <w:rFonts w:ascii="STKaiti" w:hAnsi="STKaiti" w:eastAsia="华文楷体"/>
          <w:sz w:val="24"/>
        </w:rPr>
        <w:t>推荐方向: 流动资金 / 跨境结算 / 供应链金融 / 现金管理 / 综合金融</w:t>
      </w:r>
    </w:p>
    <w:p>
      <w:r>
        <w:rPr>
          <w:rFonts w:ascii="STKaiti" w:hAnsi="STKaiti" w:eastAsia="华文楷体"/>
          <w:sz w:val="24"/>
        </w:rPr>
        <w:t>企业关键信息:</w:t>
      </w:r>
    </w:p>
    <w:p>
      <w:r>
        <w:rPr>
          <w:rFonts w:ascii="STKaiti" w:hAnsi="STKaiti" w:eastAsia="华文楷体"/>
          <w:sz w:val="24"/>
        </w:rPr>
        <w:t>基本情况: 科创板上市公司，总部位于宁波，提供智能制造整体解决方案，公开信息显示其布局宁波具身智能机器人创新中心、工业AI和高质量数据基础设施，并启用新总部园区。</w:t>
      </w:r>
    </w:p>
    <w:p>
      <w:r>
        <w:rPr>
          <w:rFonts w:ascii="STKaiti" w:hAnsi="STKaiti" w:eastAsia="华文楷体"/>
          <w:sz w:val="24"/>
        </w:rPr>
        <w:t>高层与团队背景: 公开资料显示公司核心管理层具有自动化装备、全球项目交付和上市公司运营背景；具体教育背景和导师信息未充分披露，待核实。</w:t>
      </w:r>
    </w:p>
    <w:p>
      <w:r>
        <w:rPr>
          <w:rFonts w:ascii="STKaiti" w:hAnsi="STKaiti" w:eastAsia="华文楷体"/>
          <w:sz w:val="24"/>
        </w:rPr>
        <w:t>银行关注点: 公司具备全球客户、上市公司平台和产业链协同能力，适合做核心企业账户、供应链金融、跨境结算和员工服务的综合开发。</w:t>
      </w:r>
    </w:p>
    <w:p>
      <w:r>
        <w:rPr>
          <w:rFonts w:ascii="STKaiti" w:hAnsi="STKaiti" w:eastAsia="华文楷体"/>
          <w:sz w:val="24"/>
        </w:rPr>
        <w:t>推荐理由:</w:t>
      </w:r>
    </w:p>
    <w:p>
      <w:r>
        <w:rPr>
          <w:rFonts w:ascii="STKaiti" w:hAnsi="STKaiti" w:eastAsia="华文楷体"/>
          <w:sz w:val="24"/>
        </w:rPr>
        <w:t>宁波高新区正在推动具身智能和智能制造装备融合，均普智能是本地具备平台化能力的代表企业。</w:t>
      </w:r>
    </w:p>
    <w:p>
      <w:r>
        <w:rPr>
          <w:rFonts w:ascii="STKaiti" w:hAnsi="STKaiti" w:eastAsia="华文楷体"/>
          <w:sz w:val="24"/>
        </w:rPr>
        <w:t>公司从自动化装备延伸至工业AI、机器人数据和场景落地，符合“AI+制造”落地趋势。</w:t>
      </w:r>
    </w:p>
    <w:p>
      <w:r>
        <w:rPr>
          <w:rFonts w:ascii="STKaiti" w:hAnsi="STKaiti" w:eastAsia="华文楷体"/>
          <w:sz w:val="24"/>
        </w:rPr>
        <w:t>上市公司及全球化业务属性带来跨境结算、现金管理、票据和供应链金融机会。</w:t>
      </w:r>
    </w:p>
    <w:p>
      <w:r>
        <w:rPr>
          <w:rFonts w:ascii="STKaiti" w:hAnsi="STKaiti" w:eastAsia="华文楷体"/>
          <w:sz w:val="24"/>
        </w:rPr>
        <w:t>银行展业机会:</w:t>
      </w:r>
    </w:p>
    <w:p>
      <w:r>
        <w:rPr>
          <w:rFonts w:ascii="STKaiti" w:hAnsi="STKaiti" w:eastAsia="华文楷体"/>
          <w:sz w:val="24"/>
        </w:rPr>
        <w:t>企业经营场景是智能装备项目交付、海外客户结算、产业链协同和园区总部运营。金融需求包括项目流动资金、供应商付款、票据贴现、跨境收付、汇率风险管理和集团资金管理。可配置数字财资、资产池、银票极速贴现、国内信用证、跨境支付结算、跨境贸易金融和平安避险。</w:t>
      </w:r>
    </w:p>
    <w:p>
      <w:r>
        <w:rPr>
          <w:rFonts w:ascii="STKaiti" w:hAnsi="STKaiti" w:eastAsia="华文楷体"/>
          <w:sz w:val="24"/>
        </w:rPr>
        <w:t>推荐产品组合: 建议以数字财资和跨境支付结算切入，解决集团资金可视化和海外收付需求；配套资产池、银票极速贴现、国内信用证和跨境贸易金融，用于项目回款、供应商付款和贸易融资。额度、期限、费率和准入条件待沟通。</w:t>
      </w:r>
    </w:p>
    <w:p>
      <w:r>
        <w:rPr>
          <w:rFonts w:ascii="STKaiti" w:hAnsi="STKaiti" w:eastAsia="华文楷体"/>
          <w:sz w:val="24"/>
        </w:rPr>
        <w:t>客户经理切入话术: “均普从智能装备走向工业AI和具身智能平台，资金场景会更复杂。我们可以先围绕集团账户、海外结算、票据和供应链做一次资金流梳理，再匹配轻量方案。”</w:t>
      </w:r>
    </w:p>
    <w:p>
      <w:r>
        <w:rPr>
          <w:rFonts w:ascii="STKaiti" w:hAnsi="STKaiti" w:eastAsia="华文楷体"/>
          <w:sz w:val="24"/>
        </w:rPr>
        <w:t>风险提示: 智能装备项目受下游资本开支周期影响，海外业务涉及汇率和交付风险；需结合财报、订单结构、应收账款、存货和海外回款情况评估。</w:t>
      </w:r>
    </w:p>
    <w:p>
      <w:pPr>
        <w:pStyle w:val="Heading2"/>
      </w:pPr>
      <w:r>
        <w:rPr>
          <w:rFonts w:ascii="STKaiti" w:hAnsi="STKaiti" w:eastAsia="华文楷体"/>
          <w:sz w:val="24"/>
        </w:rPr>
        <w:t>企业名称: 浙江禾川科技股份有限公司</w:t>
      </w:r>
    </w:p>
    <w:p>
      <w:r>
        <w:rPr>
          <w:rFonts w:ascii="STKaiti" w:hAnsi="STKaiti" w:eastAsia="华文楷体"/>
          <w:sz w:val="24"/>
        </w:rPr>
        <w:t>推荐等级: 中高</w:t>
      </w:r>
    </w:p>
    <w:p>
      <w:r>
        <w:rPr>
          <w:rFonts w:ascii="STKaiti" w:hAnsi="STKaiti" w:eastAsia="华文楷体"/>
          <w:sz w:val="24"/>
        </w:rPr>
        <w:t>所属行业: 工业自动化/伺服系统/控制器</w:t>
      </w:r>
    </w:p>
    <w:p>
      <w:r>
        <w:rPr>
          <w:rFonts w:ascii="STKaiti" w:hAnsi="STKaiti" w:eastAsia="华文楷体"/>
          <w:sz w:val="24"/>
        </w:rPr>
        <w:t>所在地区: 衢州</w:t>
      </w:r>
    </w:p>
    <w:p>
      <w:r>
        <w:rPr>
          <w:rFonts w:ascii="STKaiti" w:hAnsi="STKaiti" w:eastAsia="华文楷体"/>
          <w:sz w:val="24"/>
        </w:rPr>
        <w:t>产业链位置: 上游核心部件</w:t>
      </w:r>
    </w:p>
    <w:p>
      <w:r>
        <w:rPr>
          <w:rFonts w:ascii="STKaiti" w:hAnsi="STKaiti" w:eastAsia="华文楷体"/>
          <w:sz w:val="24"/>
        </w:rPr>
        <w:t>推荐方向: 供应链金融 / 票据 / 流动资金 / 现金管理</w:t>
      </w:r>
    </w:p>
    <w:p>
      <w:r>
        <w:rPr>
          <w:rFonts w:ascii="STKaiti" w:hAnsi="STKaiti" w:eastAsia="华文楷体"/>
          <w:sz w:val="24"/>
        </w:rPr>
        <w:t>企业关键信息:</w:t>
      </w:r>
    </w:p>
    <w:p>
      <w:r>
        <w:rPr>
          <w:rFonts w:ascii="STKaiti" w:hAnsi="STKaiti" w:eastAsia="华文楷体"/>
          <w:sz w:val="24"/>
        </w:rPr>
        <w:t>基本情况: 科创板上市公司，主营工业自动化控制核心部件及整体解决方案，产品覆盖伺服系统、PLC、控制器等，处于机器人和智能装备上游核心部件环节。</w:t>
      </w:r>
    </w:p>
    <w:p>
      <w:r>
        <w:rPr>
          <w:rFonts w:ascii="STKaiti" w:hAnsi="STKaiti" w:eastAsia="华文楷体"/>
          <w:sz w:val="24"/>
        </w:rPr>
        <w:t>高层与团队背景: 董事长王项彬公开资料显示为浙江龙游人，早年学习机电一体化，长期在工业自动化和创业经营一线。其他核心高管教育背景和导师信息需进一步核实。</w:t>
      </w:r>
    </w:p>
    <w:p>
      <w:r>
        <w:rPr>
          <w:rFonts w:ascii="STKaiti" w:hAnsi="STKaiti" w:eastAsia="华文楷体"/>
          <w:sz w:val="24"/>
        </w:rPr>
        <w:t>银行关注点: 公司处于机器人核心零部件国产化链条，若进入更多整机厂和智能装备客户供应体系，订单备料、票据和应收账款需求会提升。</w:t>
      </w:r>
    </w:p>
    <w:p>
      <w:r>
        <w:rPr>
          <w:rFonts w:ascii="STKaiti" w:hAnsi="STKaiti" w:eastAsia="华文楷体"/>
          <w:sz w:val="24"/>
        </w:rPr>
        <w:t>推荐理由:</w:t>
      </w:r>
    </w:p>
    <w:p>
      <w:r>
        <w:rPr>
          <w:rFonts w:ascii="STKaiti" w:hAnsi="STKaiti" w:eastAsia="华文楷体"/>
          <w:sz w:val="24"/>
        </w:rPr>
        <w:t>长三角机器人供应链强调快速交付，衢州伺服电机等零部件基础被多家报道提及，禾川所在区域和赛道匹配度高。</w:t>
      </w:r>
    </w:p>
    <w:p>
      <w:r>
        <w:rPr>
          <w:rFonts w:ascii="STKaiti" w:hAnsi="STKaiti" w:eastAsia="华文楷体"/>
          <w:sz w:val="24"/>
        </w:rPr>
        <w:t>工业自动化核心部件国产替代仍有长期空间，具身智能和设备更新将拉动伺服、控制器需求。</w:t>
      </w:r>
    </w:p>
    <w:p>
      <w:r>
        <w:rPr>
          <w:rFonts w:ascii="STKaiti" w:hAnsi="STKaiti" w:eastAsia="华文楷体"/>
          <w:sz w:val="24"/>
        </w:rPr>
        <w:t>上游部件企业适合围绕核心客户订单进行批量供应链金融开发。</w:t>
      </w:r>
    </w:p>
    <w:p>
      <w:r>
        <w:rPr>
          <w:rFonts w:ascii="STKaiti" w:hAnsi="STKaiti" w:eastAsia="华文楷体"/>
          <w:sz w:val="24"/>
        </w:rPr>
        <w:t>银行展业机会:</w:t>
      </w:r>
    </w:p>
    <w:p>
      <w:r>
        <w:rPr>
          <w:rFonts w:ascii="STKaiti" w:hAnsi="STKaiti" w:eastAsia="华文楷体"/>
          <w:sz w:val="24"/>
        </w:rPr>
        <w:t>企业经营场景是核心部件供货、备料生产和下游账期管理。金融需求包括采购备货、票据贴现、应收账款融资和账户资金管理。可切入订单融资、银票极速贴现、商票保贴、商票e贴、付融通和资产池。</w:t>
      </w:r>
    </w:p>
    <w:p>
      <w:r>
        <w:rPr>
          <w:rFonts w:ascii="STKaiti" w:hAnsi="STKaiti" w:eastAsia="华文楷体"/>
          <w:sz w:val="24"/>
        </w:rPr>
        <w:t>推荐产品组合: 建议以订单融资和票据产品切入，解决核心客户订单备料与回款周期问题；配套资产池、付融通和普惠金融场景化方案，向上下游供应商延伸。额度、期限、费率和准入条件待沟通。</w:t>
      </w:r>
    </w:p>
    <w:p>
      <w:r>
        <w:rPr>
          <w:rFonts w:ascii="STKaiti" w:hAnsi="STKaiti" w:eastAsia="华文楷体"/>
          <w:sz w:val="24"/>
        </w:rPr>
        <w:t>客户经理切入话术: “机器人和智能装备链条正在缩短交付周期，核心部件企业的备料和账期压力会更明显。我们可以先看贵司主要客户订单和票据结构，设计一套订单+票据的周转方案。”</w:t>
      </w:r>
    </w:p>
    <w:p>
      <w:r>
        <w:rPr>
          <w:rFonts w:ascii="STKaiti" w:hAnsi="STKaiti" w:eastAsia="华文楷体"/>
          <w:sz w:val="24"/>
        </w:rPr>
        <w:t>风险提示: 工控行业竞争激烈，价格和毛利承压；需关注存货、应收账款、下游客户集中度和产品迭代风险。</w:t>
      </w:r>
    </w:p>
    <w:p>
      <w:pPr>
        <w:pStyle w:val="Heading2"/>
      </w:pPr>
      <w:r>
        <w:rPr>
          <w:rFonts w:ascii="STKaiti" w:hAnsi="STKaiti" w:eastAsia="华文楷体"/>
          <w:sz w:val="24"/>
        </w:rPr>
        <w:t>企业名称: 杭州申昊科技股份有限公司</w:t>
      </w:r>
    </w:p>
    <w:p>
      <w:r>
        <w:rPr>
          <w:rFonts w:ascii="STKaiti" w:hAnsi="STKaiti" w:eastAsia="华文楷体"/>
          <w:sz w:val="24"/>
        </w:rPr>
        <w:t>推荐等级: 中</w:t>
      </w:r>
    </w:p>
    <w:p>
      <w:r>
        <w:rPr>
          <w:rFonts w:ascii="STKaiti" w:hAnsi="STKaiti" w:eastAsia="华文楷体"/>
          <w:sz w:val="24"/>
        </w:rPr>
        <w:t>所属行业: 工业巡检机器人/机器视觉/智能运维</w:t>
      </w:r>
    </w:p>
    <w:p>
      <w:r>
        <w:rPr>
          <w:rFonts w:ascii="STKaiti" w:hAnsi="STKaiti" w:eastAsia="华文楷体"/>
          <w:sz w:val="24"/>
        </w:rPr>
        <w:t>所在地区: 杭州</w:t>
      </w:r>
    </w:p>
    <w:p>
      <w:r>
        <w:rPr>
          <w:rFonts w:ascii="STKaiti" w:hAnsi="STKaiti" w:eastAsia="华文楷体"/>
          <w:sz w:val="24"/>
        </w:rPr>
        <w:t>产业链位置: 中游设备商/服务商</w:t>
      </w:r>
    </w:p>
    <w:p>
      <w:r>
        <w:rPr>
          <w:rFonts w:ascii="STKaiti" w:hAnsi="STKaiti" w:eastAsia="华文楷体"/>
          <w:sz w:val="24"/>
        </w:rPr>
        <w:t>推荐方向: 流动资金 / 票据 / 供应链金融 / 现金管理</w:t>
      </w:r>
    </w:p>
    <w:p>
      <w:r>
        <w:rPr>
          <w:rFonts w:ascii="STKaiti" w:hAnsi="STKaiti" w:eastAsia="华文楷体"/>
          <w:sz w:val="24"/>
        </w:rPr>
        <w:t>企业关键信息:</w:t>
      </w:r>
    </w:p>
    <w:p>
      <w:r>
        <w:rPr>
          <w:rFonts w:ascii="STKaiti" w:hAnsi="STKaiti" w:eastAsia="华文楷体"/>
          <w:sz w:val="24"/>
        </w:rPr>
        <w:t>基本情况: 公司位于杭州，长期深耕人工智能机器人和工业设备智能巡检，产品覆盖地面、水下、空中、管廊等多类型机器人及传感检测系统。</w:t>
      </w:r>
    </w:p>
    <w:p>
      <w:r>
        <w:rPr>
          <w:rFonts w:ascii="STKaiti" w:hAnsi="STKaiti" w:eastAsia="华文楷体"/>
          <w:sz w:val="24"/>
        </w:rPr>
        <w:t>高层与团队背景: 董事长陈如申公开报道显示长期深耕人工智能机器人领域，关注工业大健康和高危场景替代作业；教育背景、导师和详细职业履历公开资料有限，待核实。</w:t>
      </w:r>
    </w:p>
    <w:p>
      <w:r>
        <w:rPr>
          <w:rFonts w:ascii="STKaiti" w:hAnsi="STKaiti" w:eastAsia="华文楷体"/>
          <w:sz w:val="24"/>
        </w:rPr>
        <w:t>银行关注点: 工业巡检与安全运维需求相对刚性，但项目验收和回款周期需要重点核验，适合从订单、票据和现金管理切入。</w:t>
      </w:r>
    </w:p>
    <w:p>
      <w:r>
        <w:rPr>
          <w:rFonts w:ascii="STKaiti" w:hAnsi="STKaiti" w:eastAsia="华文楷体"/>
          <w:sz w:val="24"/>
        </w:rPr>
        <w:t>推荐理由:</w:t>
      </w:r>
    </w:p>
    <w:p>
      <w:r>
        <w:rPr>
          <w:rFonts w:ascii="STKaiti" w:hAnsi="STKaiti" w:eastAsia="华文楷体"/>
          <w:sz w:val="24"/>
        </w:rPr>
        <w:t>工业安全、设备运维和无人巡检是“AI+制造”的稳定落地场景，具备从单机销售到运维服务延伸的空间。</w:t>
      </w:r>
    </w:p>
    <w:p>
      <w:r>
        <w:rPr>
          <w:rFonts w:ascii="STKaiti" w:hAnsi="STKaiti" w:eastAsia="华文楷体"/>
          <w:sz w:val="24"/>
        </w:rPr>
        <w:t>杭州具身智能政策与场景开放有助于巡检机器人企业拓展更多工业、公共安全和城市基础设施应用。</w:t>
      </w:r>
    </w:p>
    <w:p>
      <w:r>
        <w:rPr>
          <w:rFonts w:ascii="STKaiti" w:hAnsi="STKaiti" w:eastAsia="华文楷体"/>
          <w:sz w:val="24"/>
        </w:rPr>
        <w:t>公司项目型属性明显，客户经理可围绕订单、验收、应收账款和票据结构寻找切入口。</w:t>
      </w:r>
    </w:p>
    <w:p>
      <w:r>
        <w:rPr>
          <w:rFonts w:ascii="STKaiti" w:hAnsi="STKaiti" w:eastAsia="华文楷体"/>
          <w:sz w:val="24"/>
        </w:rPr>
        <w:t>银行展业机会:</w:t>
      </w:r>
    </w:p>
    <w:p>
      <w:r>
        <w:rPr>
          <w:rFonts w:ascii="STKaiti" w:hAnsi="STKaiti" w:eastAsia="华文楷体"/>
          <w:sz w:val="24"/>
        </w:rPr>
        <w:t>企业经营场景是设备生产、项目交付、验收回款和售后运维。金融需求包括流动资金、票据贴现、保理、供应商付款和账户归集。可配置短贷、银票极速贴现、商票e贴、付融通、数字财资和资产池。</w:t>
      </w:r>
    </w:p>
    <w:p>
      <w:r>
        <w:rPr>
          <w:rFonts w:ascii="STKaiti" w:hAnsi="STKaiti" w:eastAsia="华文楷体"/>
          <w:sz w:val="24"/>
        </w:rPr>
        <w:t>推荐产品组合: 建议以短贷和票据贴现切入，解决项目交付和回款周期错配；配套付融通、商票e贴和数字财资，用于应收账款融资和账户管理。额度、期限、费率和准入条件待沟通。</w:t>
      </w:r>
    </w:p>
    <w:p>
      <w:r>
        <w:rPr>
          <w:rFonts w:ascii="STKaiti" w:hAnsi="STKaiti" w:eastAsia="华文楷体"/>
          <w:sz w:val="24"/>
        </w:rPr>
        <w:t>客户经理切入话术: “工业巡检项目通常存在交付、验收、回款的时间差，我们可以先帮贵司梳理主要项目的回款节奏和票据结构，看是否能用短贷、票据和保理降低资金占用。”</w:t>
      </w:r>
    </w:p>
    <w:p>
      <w:r>
        <w:rPr>
          <w:rFonts w:ascii="STKaiti" w:hAnsi="STKaiti" w:eastAsia="华文楷体"/>
          <w:sz w:val="24"/>
        </w:rPr>
        <w:t>风险提示: 项目验收周期、客户集中度和应收账款质量需重点关注；需结合财报、合同、回款记录和实地尽调确认。</w:t>
      </w:r>
    </w:p>
    <w:p>
      <w:pPr>
        <w:pStyle w:val="Heading1"/>
      </w:pPr>
      <w:r>
        <w:rPr>
          <w:rFonts w:ascii="STKaiti" w:hAnsi="STKaiti" w:eastAsia="华文楷体"/>
          <w:sz w:val="24"/>
        </w:rPr>
        <w:t>四、客户经理行动建议</w:t>
      </w:r>
    </w:p>
    <w:p>
      <w:r>
        <w:rPr>
          <w:rFonts w:ascii="STKaiti" w:hAnsi="STKaiti" w:eastAsia="华文楷体"/>
          <w:sz w:val="24"/>
        </w:rPr>
        <w:t>1. 本周优先拜访杭州宇树科技股份有限公司、杭州云深处科技有限公司和宁波均普智能制造股份有限公司，切入点分别是上市/量产资金管理、项目订单回款和集团跨境现金管理。</w:t>
      </w:r>
    </w:p>
    <w:p>
      <w:r>
        <w:rPr>
          <w:rFonts w:ascii="STKaiti" w:hAnsi="STKaiti" w:eastAsia="华文楷体"/>
          <w:sz w:val="24"/>
        </w:rPr>
        <w:t>2. 对浙江禾川科技股份有限公司建立上游核心部件客户档案，重点核实机器人及智能装备客户订单、票据结构和应收账款，准备订单融资、银票贴现、商票e贴、付融通方案。</w:t>
      </w:r>
    </w:p>
    <w:p>
      <w:r>
        <w:rPr>
          <w:rFonts w:ascii="STKaiti" w:hAnsi="STKaiti" w:eastAsia="华文楷体"/>
          <w:sz w:val="24"/>
        </w:rPr>
        <w:t>3. 对杭州申昊科技股份有限公司从工业巡检项目入手，先问在手项目、验收节点、甲方付款方式和票据占比，再判断短贷、票据贴现和保理空间。</w:t>
      </w:r>
    </w:p>
    <w:p>
      <w:r>
        <w:rPr>
          <w:rFonts w:ascii="STKaiti" w:hAnsi="STKaiti" w:eastAsia="华文楷体"/>
          <w:sz w:val="24"/>
        </w:rPr>
        <w:t>4. 围绕杭州具身智能中试基地和宁波具身智能机器人创新中心，梳理周边零部件、数据采集、检验检测、系统集成和场景运营企业，形成二级扫客名单。</w:t>
      </w:r>
    </w:p>
    <w:p>
      <w:r>
        <w:rPr>
          <w:rFonts w:ascii="STKaiti" w:hAnsi="STKaiti" w:eastAsia="华文楷体"/>
          <w:sz w:val="24"/>
        </w:rPr>
        <w:t>5. 内部建议联动交易银行、普惠金融、跨境金融和综合金融产品经理，准备“具身智能企业轻量产品包”: 数字财资+短贷+票据+订单融资+平安薪，额度、期限和准入条件待沟通。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TKaiti" w:hAnsi="STKaiti" w:eastAsia="华文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TKaiti" w:hAnsi="STKaiti" w:eastAsia="华文楷体"/>
    </w:rPr>
  </w:style>
  <w:style w:type="character" w:customStyle="1" w:styleId="HeaderChar">
    <w:name w:val="Header Char"/>
    <w:basedOn w:val="DefaultParagraphFont"/>
    <w:link w:val="Header"/>
    <w:uiPriority w:val="99"/>
    <w:rsid w:val="00E618BF"/>
    <w:rPr>
      <w:rFonts w:ascii="STKaiti" w:hAnsi="STKaiti" w:eastAsia="华文楷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TKaiti" w:hAnsi="STKaiti" w:eastAsia="华文楷体"/>
    </w:rPr>
  </w:style>
  <w:style w:type="character" w:customStyle="1" w:styleId="FooterChar">
    <w:name w:val="Footer Char"/>
    <w:basedOn w:val="DefaultParagraphFont"/>
    <w:link w:val="Footer"/>
    <w:uiPriority w:val="99"/>
    <w:rsid w:val="00E618BF"/>
    <w:rPr>
      <w:rFonts w:ascii="STKaiti" w:hAnsi="STKaiti" w:eastAsia="华文楷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TKaiti" w:hAnsi="STKaiti" w:eastAsia="华文楷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TKaiti" w:hAnsi="STKaiti" w:eastAsia="华文楷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TKaiti" w:hAnsi="STKaiti" w:eastAsia="华文楷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TKaiti" w:hAnsi="STKaiti" w:eastAsia="华文楷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TKaiti" w:hAnsi="STKaiti" w:eastAsia="华文楷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TKaiti" w:hAnsi="STKaiti" w:eastAsia="华文楷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TKaiti" w:hAnsi="STKaiti" w:eastAsia="华文楷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TKaiti" w:hAnsi="STKaiti" w:eastAsia="华文楷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TKaiti" w:hAnsi="STKaiti" w:eastAsia="华文楷体"/>
      <w:i/>
      <w:iCs/>
      <w:color w:val="404040" w:themeColor="text1" w:themeTint="BF"/>
      <w:sz w:val="20"/>
      <w:szCs w:val="20"/>
    </w:rPr>
  </w:style>
  <w:style w:type="character" w:default="1" w:styleId="DefaultParagraphFont">
    <w:name w:val="Default Paragraph Font"/>
    <w:uiPriority w:val="1"/>
    <w:semiHidden/>
    <w:unhideWhenUsed/>
    <w:rPr>
      <w:rFonts w:ascii="STKaiti" w:hAnsi="STKaiti" w:eastAsia="华文楷体"/>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TKaiti" w:hAnsi="STKaiti" w:eastAsia="华文楷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STKaiti" w:hAnsi="STKaiti" w:eastAsia="华文楷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STKaiti" w:hAnsi="STKaiti" w:eastAsia="华文楷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STKaiti" w:hAnsi="STKaiti" w:eastAsia="华文楷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TKaiti" w:hAnsi="STKaiti" w:eastAsia="华文楷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STKaiti" w:hAnsi="STKaiti" w:eastAsia="华文楷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TKaiti" w:hAnsi="STKaiti" w:eastAsia="华文楷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STKaiti" w:hAnsi="STKaiti" w:eastAsia="华文楷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TKaiti" w:hAnsi="STKaiti" w:eastAsia="华文楷体"/>
    </w:rPr>
  </w:style>
  <w:style w:type="paragraph" w:styleId="BodyText">
    <w:name w:val="Body Text"/>
    <w:basedOn w:val="Normal"/>
    <w:link w:val="BodyTextChar"/>
    <w:uiPriority w:val="99"/>
    <w:unhideWhenUsed/>
    <w:rsid w:val="00AA1D8D"/>
    <w:pPr>
      <w:spacing w:after="120"/>
    </w:pPr>
    <w:rPr>
      <w:rFonts w:ascii="STKaiti" w:hAnsi="STKaiti" w:eastAsia="华文楷体"/>
    </w:rPr>
  </w:style>
  <w:style w:type="character" w:customStyle="1" w:styleId="BodyTextChar">
    <w:name w:val="Body Text Char"/>
    <w:basedOn w:val="DefaultParagraphFont"/>
    <w:link w:val="BodyText"/>
    <w:uiPriority w:val="99"/>
    <w:rsid w:val="00AA1D8D"/>
    <w:rPr>
      <w:rFonts w:ascii="STKaiti" w:hAnsi="STKaiti" w:eastAsia="华文楷体"/>
    </w:rPr>
  </w:style>
  <w:style w:type="paragraph" w:styleId="BodyText2">
    <w:name w:val="Body Text 2"/>
    <w:basedOn w:val="Normal"/>
    <w:link w:val="BodyText2Char"/>
    <w:uiPriority w:val="99"/>
    <w:unhideWhenUsed/>
    <w:rsid w:val="00AA1D8D"/>
    <w:pPr>
      <w:spacing w:after="120" w:line="480" w:lineRule="auto"/>
    </w:pPr>
    <w:rPr>
      <w:rFonts w:ascii="STKaiti" w:hAnsi="STKaiti" w:eastAsia="华文楷体"/>
    </w:rPr>
  </w:style>
  <w:style w:type="character" w:customStyle="1" w:styleId="BodyText2Char">
    <w:name w:val="Body Text 2 Char"/>
    <w:basedOn w:val="DefaultParagraphFont"/>
    <w:link w:val="BodyText2"/>
    <w:uiPriority w:val="99"/>
    <w:rsid w:val="00AA1D8D"/>
    <w:rPr>
      <w:rFonts w:ascii="STKaiti" w:hAnsi="STKaiti" w:eastAsia="华文楷体"/>
    </w:rPr>
  </w:style>
  <w:style w:type="paragraph" w:styleId="BodyText3">
    <w:name w:val="Body Text 3"/>
    <w:basedOn w:val="Normal"/>
    <w:link w:val="BodyText3Char"/>
    <w:uiPriority w:val="99"/>
    <w:unhideWhenUsed/>
    <w:rsid w:val="00AA1D8D"/>
    <w:pPr>
      <w:spacing w:after="120"/>
    </w:pPr>
    <w:rPr>
      <w:rFonts w:ascii="STKaiti" w:hAnsi="STKaiti" w:eastAsia="华文楷体"/>
      <w:sz w:val="16"/>
      <w:szCs w:val="16"/>
    </w:rPr>
  </w:style>
  <w:style w:type="character" w:customStyle="1" w:styleId="BodyText3Char">
    <w:name w:val="Body Text 3 Char"/>
    <w:basedOn w:val="DefaultParagraphFont"/>
    <w:link w:val="BodyText3"/>
    <w:uiPriority w:val="99"/>
    <w:rsid w:val="00AA1D8D"/>
    <w:rPr>
      <w:rFonts w:ascii="STKaiti" w:hAnsi="STKaiti" w:eastAsia="华文楷体"/>
      <w:sz w:val="16"/>
      <w:szCs w:val="16"/>
    </w:rPr>
  </w:style>
  <w:style w:type="paragraph" w:styleId="List">
    <w:name w:val="List"/>
    <w:basedOn w:val="Normal"/>
    <w:uiPriority w:val="99"/>
    <w:unhideWhenUsed/>
    <w:rsid w:val="00AA1D8D"/>
    <w:pPr>
      <w:ind w:left="360" w:hanging="360"/>
      <w:contextualSpacing/>
    </w:pPr>
    <w:rPr>
      <w:rFonts w:ascii="STKaiti" w:hAnsi="STKaiti" w:eastAsia="华文楷体"/>
    </w:rPr>
  </w:style>
  <w:style w:type="paragraph" w:styleId="List2">
    <w:name w:val="List 2"/>
    <w:basedOn w:val="Normal"/>
    <w:uiPriority w:val="99"/>
    <w:unhideWhenUsed/>
    <w:rsid w:val="00326F90"/>
    <w:pPr>
      <w:ind w:left="720" w:hanging="360"/>
      <w:contextualSpacing/>
    </w:pPr>
    <w:rPr>
      <w:rFonts w:ascii="STKaiti" w:hAnsi="STKaiti" w:eastAsia="华文楷体"/>
    </w:rPr>
  </w:style>
  <w:style w:type="paragraph" w:styleId="List3">
    <w:name w:val="List 3"/>
    <w:basedOn w:val="Normal"/>
    <w:uiPriority w:val="99"/>
    <w:unhideWhenUsed/>
    <w:rsid w:val="00326F90"/>
    <w:pPr>
      <w:ind w:left="1080" w:hanging="360"/>
      <w:contextualSpacing/>
    </w:pPr>
    <w:rPr>
      <w:rFonts w:ascii="STKaiti" w:hAnsi="STKaiti" w:eastAsia="华文楷体"/>
    </w:rPr>
  </w:style>
  <w:style w:type="paragraph" w:styleId="ListBullet">
    <w:name w:val="List Bullet"/>
    <w:basedOn w:val="Normal"/>
    <w:uiPriority w:val="99"/>
    <w:unhideWhenUsed/>
    <w:rsid w:val="00326F90"/>
    <w:pPr>
      <w:numPr>
        <w:numId w:val="1"/>
      </w:numPr>
      <w:contextualSpacing/>
    </w:pPr>
    <w:rPr>
      <w:rFonts w:ascii="STKaiti" w:hAnsi="STKaiti" w:eastAsia="华文楷体"/>
    </w:rPr>
  </w:style>
  <w:style w:type="paragraph" w:styleId="ListBullet2">
    <w:name w:val="List Bullet 2"/>
    <w:basedOn w:val="Normal"/>
    <w:uiPriority w:val="99"/>
    <w:unhideWhenUsed/>
    <w:rsid w:val="00326F90"/>
    <w:pPr>
      <w:numPr>
        <w:numId w:val="2"/>
      </w:numPr>
      <w:contextualSpacing/>
    </w:pPr>
    <w:rPr>
      <w:rFonts w:ascii="STKaiti" w:hAnsi="STKaiti" w:eastAsia="华文楷体"/>
    </w:rPr>
  </w:style>
  <w:style w:type="paragraph" w:styleId="ListBullet3">
    <w:name w:val="List Bullet 3"/>
    <w:basedOn w:val="Normal"/>
    <w:uiPriority w:val="99"/>
    <w:unhideWhenUsed/>
    <w:rsid w:val="00326F90"/>
    <w:pPr>
      <w:numPr>
        <w:numId w:val="3"/>
      </w:numPr>
      <w:contextualSpacing/>
    </w:pPr>
    <w:rPr>
      <w:rFonts w:ascii="STKaiti" w:hAnsi="STKaiti" w:eastAsia="华文楷体"/>
    </w:rPr>
  </w:style>
  <w:style w:type="paragraph" w:styleId="ListNumber">
    <w:name w:val="List Number"/>
    <w:basedOn w:val="Normal"/>
    <w:uiPriority w:val="99"/>
    <w:unhideWhenUsed/>
    <w:rsid w:val="00326F90"/>
    <w:pPr>
      <w:numPr>
        <w:numId w:val="5"/>
      </w:numPr>
      <w:contextualSpacing/>
    </w:pPr>
    <w:rPr>
      <w:rFonts w:ascii="STKaiti" w:hAnsi="STKaiti" w:eastAsia="华文楷体"/>
    </w:rPr>
  </w:style>
  <w:style w:type="paragraph" w:styleId="ListNumber2">
    <w:name w:val="List Number 2"/>
    <w:basedOn w:val="Normal"/>
    <w:uiPriority w:val="99"/>
    <w:unhideWhenUsed/>
    <w:rsid w:val="0029639D"/>
    <w:pPr>
      <w:numPr>
        <w:numId w:val="6"/>
      </w:numPr>
      <w:contextualSpacing/>
    </w:pPr>
    <w:rPr>
      <w:rFonts w:ascii="STKaiti" w:hAnsi="STKaiti" w:eastAsia="华文楷体"/>
    </w:rPr>
  </w:style>
  <w:style w:type="paragraph" w:styleId="ListNumber3">
    <w:name w:val="List Number 3"/>
    <w:basedOn w:val="Normal"/>
    <w:uiPriority w:val="99"/>
    <w:unhideWhenUsed/>
    <w:rsid w:val="0029639D"/>
    <w:pPr>
      <w:numPr>
        <w:numId w:val="7"/>
      </w:numPr>
      <w:contextualSpacing/>
    </w:pPr>
    <w:rPr>
      <w:rFonts w:ascii="STKaiti" w:hAnsi="STKaiti" w:eastAsia="华文楷体"/>
    </w:rPr>
  </w:style>
  <w:style w:type="paragraph" w:styleId="ListContinue">
    <w:name w:val="List Continue"/>
    <w:basedOn w:val="Normal"/>
    <w:uiPriority w:val="99"/>
    <w:unhideWhenUsed/>
    <w:rsid w:val="0029639D"/>
    <w:pPr>
      <w:spacing w:after="120"/>
      <w:ind w:left="360"/>
      <w:contextualSpacing/>
    </w:pPr>
    <w:rPr>
      <w:rFonts w:ascii="STKaiti" w:hAnsi="STKaiti" w:eastAsia="华文楷体"/>
    </w:rPr>
  </w:style>
  <w:style w:type="paragraph" w:styleId="ListContinue2">
    <w:name w:val="List Continue 2"/>
    <w:basedOn w:val="Normal"/>
    <w:uiPriority w:val="99"/>
    <w:unhideWhenUsed/>
    <w:rsid w:val="0029639D"/>
    <w:pPr>
      <w:spacing w:after="120"/>
      <w:ind w:left="720"/>
      <w:contextualSpacing/>
    </w:pPr>
    <w:rPr>
      <w:rFonts w:ascii="STKaiti" w:hAnsi="STKaiti" w:eastAsia="华文楷体"/>
    </w:rPr>
  </w:style>
  <w:style w:type="paragraph" w:styleId="ListContinue3">
    <w:name w:val="List Continue 3"/>
    <w:basedOn w:val="Normal"/>
    <w:uiPriority w:val="99"/>
    <w:unhideWhenUsed/>
    <w:rsid w:val="0029639D"/>
    <w:pPr>
      <w:spacing w:after="120"/>
      <w:ind w:left="1080"/>
      <w:contextualSpacing/>
    </w:pPr>
    <w:rPr>
      <w:rFonts w:ascii="STKaiti" w:hAnsi="STKaiti" w:eastAsia="华文楷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TKaiti" w:hAnsi="STKaiti" w:eastAsia="华文楷体"/>
      <w:sz w:val="20"/>
      <w:szCs w:val="20"/>
    </w:rPr>
  </w:style>
  <w:style w:type="character" w:customStyle="1" w:styleId="MacroTextChar">
    <w:name w:val="Macro Text Char"/>
    <w:basedOn w:val="DefaultParagraphFont"/>
    <w:link w:val="MacroText"/>
    <w:uiPriority w:val="99"/>
    <w:rsid w:val="0029639D"/>
    <w:rPr>
      <w:rFonts w:ascii="STKaiti" w:hAnsi="STKaiti" w:eastAsia="华文楷体"/>
      <w:sz w:val="20"/>
      <w:szCs w:val="20"/>
    </w:rPr>
  </w:style>
  <w:style w:type="paragraph" w:styleId="Quote">
    <w:name w:val="Quote"/>
    <w:basedOn w:val="Normal"/>
    <w:next w:val="Normal"/>
    <w:link w:val="QuoteChar"/>
    <w:uiPriority w:val="29"/>
    <w:qFormat/>
    <w:rsid w:val="00FC693F"/>
    <w:rPr>
      <w:rFonts w:ascii="STKaiti" w:hAnsi="STKaiti" w:eastAsia="华文楷体"/>
      <w:i/>
      <w:iCs/>
      <w:color w:val="000000" w:themeColor="text1"/>
    </w:rPr>
  </w:style>
  <w:style w:type="character" w:customStyle="1" w:styleId="QuoteChar">
    <w:name w:val="Quote Char"/>
    <w:basedOn w:val="DefaultParagraphFont"/>
    <w:link w:val="Quote"/>
    <w:uiPriority w:val="29"/>
    <w:rsid w:val="00FC693F"/>
    <w:rPr>
      <w:rFonts w:ascii="STKaiti" w:hAnsi="STKaiti" w:eastAsia="华文楷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STKaiti" w:hAnsi="STKaiti" w:eastAsia="华文楷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STKaiti" w:hAnsi="STKaiti" w:eastAsia="华文楷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STKaiti" w:hAnsi="STKaiti" w:eastAsia="华文楷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STKaiti" w:hAnsi="STKaiti" w:eastAsia="华文楷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STKaiti" w:hAnsi="STKaiti" w:eastAsia="华文楷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STKaiti" w:hAnsi="STKaiti" w:eastAsia="华文楷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TKaiti" w:hAnsi="STKaiti" w:eastAsia="华文楷体"/>
      <w:b/>
      <w:bCs/>
      <w:color w:val="4F81BD" w:themeColor="accent1"/>
      <w:sz w:val="18"/>
      <w:szCs w:val="18"/>
    </w:rPr>
  </w:style>
  <w:style w:type="character" w:styleId="Strong">
    <w:name w:val="Strong"/>
    <w:basedOn w:val="DefaultParagraphFont"/>
    <w:uiPriority w:val="22"/>
    <w:qFormat/>
    <w:rsid w:val="00FC693F"/>
    <w:rPr>
      <w:rFonts w:ascii="STKaiti" w:hAnsi="STKaiti" w:eastAsia="华文楷体"/>
      <w:b/>
      <w:bCs/>
    </w:rPr>
  </w:style>
  <w:style w:type="character" w:styleId="Emphasis">
    <w:name w:val="Emphasis"/>
    <w:basedOn w:val="DefaultParagraphFont"/>
    <w:uiPriority w:val="20"/>
    <w:qFormat/>
    <w:rsid w:val="00FC693F"/>
    <w:rPr>
      <w:rFonts w:ascii="STKaiti" w:hAnsi="STKaiti" w:eastAsia="华文楷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STKaiti" w:hAnsi="STKaiti" w:eastAsia="华文楷体"/>
      <w:b/>
      <w:bCs/>
      <w:i/>
      <w:iCs/>
      <w:color w:val="4F81BD" w:themeColor="accent1"/>
    </w:rPr>
  </w:style>
  <w:style w:type="character" w:customStyle="1" w:styleId="IntenseQuoteChar">
    <w:name w:val="Intense Quote Char"/>
    <w:basedOn w:val="DefaultParagraphFont"/>
    <w:link w:val="IntenseQuote"/>
    <w:uiPriority w:val="30"/>
    <w:rsid w:val="00FC693F"/>
    <w:rPr>
      <w:rFonts w:ascii="STKaiti" w:hAnsi="STKaiti" w:eastAsia="华文楷体"/>
      <w:b/>
      <w:bCs/>
      <w:i/>
      <w:iCs/>
      <w:color w:val="4F81BD" w:themeColor="accent1"/>
    </w:rPr>
  </w:style>
  <w:style w:type="character" w:styleId="SubtleEmphasis">
    <w:name w:val="Subtle Emphasis"/>
    <w:basedOn w:val="DefaultParagraphFont"/>
    <w:uiPriority w:val="19"/>
    <w:qFormat/>
    <w:rsid w:val="00FC693F"/>
    <w:rPr>
      <w:rFonts w:ascii="STKaiti" w:hAnsi="STKaiti" w:eastAsia="华文楷体"/>
      <w:i/>
      <w:iCs/>
      <w:color w:val="808080" w:themeColor="text1" w:themeTint="7F"/>
    </w:rPr>
  </w:style>
  <w:style w:type="character" w:styleId="IntenseEmphasis">
    <w:name w:val="Intense Emphasis"/>
    <w:basedOn w:val="DefaultParagraphFont"/>
    <w:uiPriority w:val="21"/>
    <w:qFormat/>
    <w:rsid w:val="00FC693F"/>
    <w:rPr>
      <w:rFonts w:ascii="STKaiti" w:hAnsi="STKaiti" w:eastAsia="华文楷体"/>
      <w:b/>
      <w:bCs/>
      <w:i/>
      <w:iCs/>
      <w:color w:val="4F81BD" w:themeColor="accent1"/>
    </w:rPr>
  </w:style>
  <w:style w:type="character" w:styleId="SubtleReference">
    <w:name w:val="Subtle Reference"/>
    <w:basedOn w:val="DefaultParagraphFont"/>
    <w:uiPriority w:val="31"/>
    <w:qFormat/>
    <w:rsid w:val="00FC693F"/>
    <w:rPr>
      <w:rFonts w:ascii="STKaiti" w:hAnsi="STKaiti" w:eastAsia="华文楷体"/>
      <w:smallCaps/>
      <w:color w:val="C0504D" w:themeColor="accent2"/>
      <w:u w:val="single"/>
    </w:rPr>
  </w:style>
  <w:style w:type="character" w:styleId="IntenseReference">
    <w:name w:val="Intense Reference"/>
    <w:basedOn w:val="DefaultParagraphFont"/>
    <w:uiPriority w:val="32"/>
    <w:qFormat/>
    <w:rsid w:val="00FC693F"/>
    <w:rPr>
      <w:rFonts w:ascii="STKaiti" w:hAnsi="STKaiti" w:eastAsia="华文楷体"/>
      <w:b/>
      <w:bCs/>
      <w:smallCaps/>
      <w:color w:val="C0504D" w:themeColor="accent2"/>
      <w:spacing w:val="5"/>
      <w:u w:val="single"/>
    </w:rPr>
  </w:style>
  <w:style w:type="character" w:styleId="BookTitle">
    <w:name w:val="Book Title"/>
    <w:basedOn w:val="DefaultParagraphFont"/>
    <w:uiPriority w:val="33"/>
    <w:qFormat/>
    <w:rsid w:val="00FC693F"/>
    <w:rPr>
      <w:rFonts w:ascii="STKaiti" w:hAnsi="STKaiti" w:eastAsia="华文楷体"/>
      <w:b/>
      <w:bCs/>
      <w:smallCaps/>
      <w:spacing w:val="5"/>
    </w:rPr>
  </w:style>
  <w:style w:type="paragraph" w:styleId="TOCHeading">
    <w:name w:val="TOC Heading"/>
    <w:basedOn w:val="Heading1"/>
    <w:next w:val="Normal"/>
    <w:uiPriority w:val="39"/>
    <w:semiHidden/>
    <w:unhideWhenUsed/>
    <w:qFormat/>
    <w:rsid w:val="00FC693F"/>
    <w:pPr>
      <w:outlineLvl w:val="9"/>
    </w:pPr>
    <w:rPr>
      <w:rFonts w:ascii="STKaiti" w:hAnsi="STKaiti" w:eastAsia="华文楷体"/>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