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华文楷体" w:hAnsi="华文楷体" w:eastAsia="华文楷体"/>
          <w:b/>
          <w:color w:val="1A568E"/>
          <w:sz w:val="48"/>
        </w:rPr>
        <w:t>新能源行业商机周报</w:t>
      </w:r>
    </w:p>
    <w:p>
      <w:pPr>
        <w:jc w:val="center"/>
      </w:pPr>
      <w:r>
        <w:rPr>
          <w:rFonts w:ascii="华文楷体" w:hAnsi="华文楷体" w:eastAsia="华文楷体"/>
          <w:color w:val="666666"/>
          <w:sz w:val="26"/>
        </w:rPr>
        <w:t>覆盖周期：2026年5月16日 - 5月22日</w:t>
      </w:r>
    </w:p>
    <w:p>
      <w:pPr>
        <w:jc w:val="center"/>
      </w:pPr>
      <w:r>
        <w:rPr>
          <w:rFonts w:ascii="华文楷体" w:hAnsi="华文楷体" w:eastAsia="华文楷体"/>
          <w:color w:val="888888"/>
          <w:sz w:val="22"/>
        </w:rPr>
        <w:t>平安银行杭州分行 - 首席行业分析师</w:t>
      </w:r>
    </w:p>
    <w:p/>
    <w:p>
      <w:pPr>
        <w:pStyle w:val="Heading1"/>
      </w:pPr>
      <w:r>
        <w:rPr>
          <w:rFonts w:ascii="华文楷体" w:hAnsi="华文楷体" w:eastAsia="华文楷体"/>
          <w:b/>
          <w:color w:val="1A568E"/>
          <w:sz w:val="40"/>
        </w:rPr>
        <w:t>一、行业动态与发展总结</w:t>
      </w:r>
    </w:p>
    <w:p>
      <w:pPr>
        <w:pStyle w:val="Heading2"/>
      </w:pPr>
      <w:r>
        <w:rPr>
          <w:rFonts w:ascii="华文楷体" w:hAnsi="华文楷体" w:eastAsia="华文楷体"/>
          <w:b/>
          <w:color w:val="2C3E50"/>
          <w:sz w:val="30"/>
        </w:rPr>
        <w:t>1. 近期政策变动</w:t>
      </w:r>
    </w:p>
    <w:p>
      <w:r>
        <w:rPr>
          <w:rFonts w:ascii="华文楷体" w:hAnsi="华文楷体" w:eastAsia="华文楷体"/>
          <w:color w:val="333333"/>
          <w:sz w:val="22"/>
        </w:rPr>
        <w:t>本周新能源领域迎来三项重大政策发布，涉及绿电交易机制、储能产业顶层设计和分布式光伏并网管理改革。</w:t>
      </w:r>
    </w:p>
    <w:p>
      <w:r>
        <w:rPr>
          <w:rFonts w:ascii="华文楷体" w:hAnsi="华文楷体" w:eastAsia="华文楷体"/>
          <w:b/>
          <w:color w:val="333333"/>
          <w:sz w:val="22"/>
        </w:rPr>
        <w:t>（1）多用户绿电直连政策发布（发改能源〔2026〕688号）</w:t>
      </w:r>
    </w:p>
    <w:p>
      <w:r>
        <w:rPr>
          <w:rFonts w:ascii="华文楷体" w:hAnsi="华文楷体" w:eastAsia="华文楷体"/>
          <w:color w:val="333333"/>
          <w:sz w:val="22"/>
        </w:rPr>
        <w:t>5月20日，国家发改委、国家能源局联合发布《关于有序推动多用户绿电直连发展有关事项的通知》。该政策是2025年"单用户绿电直连"政策的重大升级，核心要点如下：</w:t>
      </w:r>
    </w:p>
    <w:p>
      <w:pPr>
        <w:pStyle w:val="ListBullet"/>
      </w:pPr>
      <w:r>
        <w:rPr>
          <w:rFonts w:ascii="华文楷体" w:hAnsi="华文楷体" w:eastAsia="华文楷体"/>
          <w:color w:val="333333"/>
          <w:sz w:val="22"/>
        </w:rPr>
        <w:t>适用范围：工业园区、零碳园区、增量配电网，以及有绿电消费比例要求的企业、重点用能企业、出口外向型企业等。优先支持算力设施、绿色氢氨醇等新兴产业。</w:t>
      </w:r>
    </w:p>
    <w:p>
      <w:pPr>
        <w:pStyle w:val="ListBullet"/>
      </w:pPr>
      <w:r>
        <w:rPr>
          <w:rFonts w:ascii="华文楷体" w:hAnsi="华文楷体" w:eastAsia="华文楷体"/>
          <w:color w:val="333333"/>
          <w:sz w:val="22"/>
        </w:rPr>
        <w:t>"以荷定源"原则：年自发自用电量占总可用发电量比例不低于60%，占总用电量比例不低于30%（2030年前不低于35%）。</w:t>
      </w:r>
    </w:p>
    <w:p>
      <w:pPr>
        <w:pStyle w:val="ListBullet"/>
      </w:pPr>
      <w:r>
        <w:rPr>
          <w:rFonts w:ascii="华文楷体" w:hAnsi="华文楷体" w:eastAsia="华文楷体"/>
          <w:color w:val="333333"/>
          <w:sz w:val="22"/>
        </w:rPr>
        <w:t>并网约束：年上网电量不超过总可用发电量的20%，新能源弃电不纳入利用率统计。</w:t>
      </w:r>
    </w:p>
    <w:p>
      <w:pPr>
        <w:pStyle w:val="ListBullet"/>
      </w:pPr>
      <w:r>
        <w:rPr>
          <w:rFonts w:ascii="华文楷体" w:hAnsi="华文楷体" w:eastAsia="华文楷体"/>
          <w:color w:val="333333"/>
          <w:sz w:val="22"/>
        </w:rPr>
        <w:t>价格机制：公平承担输配电费、系统运行费、政策性交叉补贴等费用。</w:t>
      </w:r>
    </w:p>
    <w:p>
      <w:pPr>
        <w:pStyle w:val="ListBullet"/>
      </w:pPr>
      <w:r>
        <w:rPr>
          <w:rFonts w:ascii="华文楷体" w:hAnsi="华文楷体" w:eastAsia="华文楷体"/>
          <w:color w:val="333333"/>
          <w:sz w:val="22"/>
        </w:rPr>
        <w:t>储能从"选配"变"必配"：配套行动方案明确，AI数据中心等算力设施对供电可靠性要求超99.99%，必须配置储能系统。</w:t>
      </w:r>
    </w:p>
    <w:p>
      <w:r>
        <w:rPr>
          <w:rFonts w:ascii="华文楷体" w:hAnsi="华文楷体" w:eastAsia="华文楷体"/>
          <w:b/>
          <w:color w:val="333333"/>
          <w:sz w:val="22"/>
        </w:rPr>
        <w:t>（2）"十五五"新型储能发展实施方案已编制完成</w:t>
      </w:r>
    </w:p>
    <w:p>
      <w:r>
        <w:rPr>
          <w:rFonts w:ascii="华文楷体" w:hAnsi="华文楷体" w:eastAsia="华文楷体"/>
          <w:color w:val="333333"/>
          <w:sz w:val="22"/>
        </w:rPr>
        <w:t>5月22日，财联社报道，"十五五"新型储能发展实施方案已编制完成，正在内部征求意见，待征求完毕后发布。新型储能已被列入"十五五"时期国家战略性新兴产业。此前国家能源局在1月明确表示将健全完善新型储能政策管理体系，持续深化技术产业创新，大力推动新型储能高质量发展。</w:t>
      </w:r>
    </w:p>
    <w:p>
      <w:r>
        <w:rPr>
          <w:rFonts w:ascii="华文楷体" w:hAnsi="华文楷体" w:eastAsia="华文楷体"/>
          <w:b/>
          <w:color w:val="333333"/>
          <w:sz w:val="22"/>
        </w:rPr>
        <w:t>（3）分布式光伏并网管理改革：取消"80%红线"</w:t>
      </w:r>
    </w:p>
    <w:p>
      <w:r>
        <w:rPr>
          <w:rFonts w:ascii="华文楷体" w:hAnsi="华文楷体" w:eastAsia="华文楷体"/>
          <w:color w:val="333333"/>
          <w:sz w:val="22"/>
        </w:rPr>
        <w:t>国家能源局发布光伏并网管理新政，自2026年6月18日起取消硬性80%红线限制，推行三色分区动态管理。分布式光伏接入条件将显著放宽，有利于分布式光伏项目加速落地。</w:t>
      </w:r>
    </w:p>
    <w:p>
      <w:r>
        <w:rPr>
          <w:rFonts w:ascii="华文楷体" w:hAnsi="华文楷体" w:eastAsia="华文楷体"/>
          <w:b/>
          <w:color w:val="333333"/>
          <w:sz w:val="22"/>
        </w:rPr>
        <w:t>综合影响闭环：三项政策叠加，意味着储能产业将从"新能源配储"单轮驱动，升级为"新能源配储+算力配储+十五五政策刚性"三轮驱动。对银行而言，储能系统集成商、储能电芯企业、工商业储能投资运营商将迎来密集融资需求，涵盖项目贷款、设备融资、供应链金融和跨境结算等场景。分布式光伏放宽后，逆变器、储能变流器、微电网设备企业将获得新增订单。</w:t>
      </w:r>
    </w:p>
    <w:p>
      <w:pPr>
        <w:pStyle w:val="Heading2"/>
      </w:pPr>
      <w:r>
        <w:rPr>
          <w:rFonts w:ascii="华文楷体" w:hAnsi="华文楷体" w:eastAsia="华文楷体"/>
          <w:b/>
          <w:color w:val="2C3E50"/>
          <w:sz w:val="30"/>
        </w:rPr>
        <w:t>2. 政府规划与产业方向</w:t>
      </w:r>
    </w:p>
    <w:p>
      <w:r>
        <w:rPr>
          <w:rFonts w:ascii="华文楷体" w:hAnsi="华文楷体" w:eastAsia="华文楷体"/>
          <w:color w:val="333333"/>
          <w:sz w:val="22"/>
        </w:rPr>
        <w:t>30省/市"十五五"能源规划密集出台，全国规划新增风、光装机超931GW。多个省份将储能列为重点支撑产业，推动"新能源+储能+氢能"协同发展。国家级大型风光基地加快布局，同时鼓励"新能源+生态修复"等融合发展模式。</w:t>
      </w:r>
    </w:p>
    <w:p>
      <w:r>
        <w:rPr>
          <w:rFonts w:ascii="华文楷体" w:hAnsi="华文楷体" w:eastAsia="华文楷体"/>
          <w:color w:val="333333"/>
          <w:sz w:val="22"/>
        </w:rPr>
        <w:t>氢能产业链规划提速，多省明确以工业园区和新能源基地为重点，形成工业副产制氢和可再生能源制氢为主的氢能供应体系，探索氢氨醇全产业链发展。</w:t>
      </w:r>
    </w:p>
    <w:p>
      <w:r>
        <w:rPr>
          <w:rFonts w:ascii="华文楷体" w:hAnsi="华文楷体" w:eastAsia="华文楷体"/>
          <w:color w:val="333333"/>
          <w:sz w:val="22"/>
        </w:rPr>
        <w:t>太空光伏和天基计算成为新方向。国家航天局推进商业航天高质量发展行动计划（2025-2027年）明确到2027年基本实现商业航天高质量发展。全球首颗光计算卫星研制正式启动，光伏从地面能源走向轨道能源体系，打开远期成长空间。</w:t>
      </w:r>
    </w:p>
    <w:p>
      <w:pPr>
        <w:pStyle w:val="Heading2"/>
      </w:pPr>
      <w:r>
        <w:rPr>
          <w:rFonts w:ascii="华文楷体" w:hAnsi="华文楷体" w:eastAsia="华文楷体"/>
          <w:b/>
          <w:color w:val="2C3E50"/>
          <w:sz w:val="30"/>
        </w:rPr>
        <w:t>3. 行业发展趋势</w:t>
      </w:r>
    </w:p>
    <w:p>
      <w:r>
        <w:rPr>
          <w:rFonts w:ascii="华文楷体" w:hAnsi="华文楷体" w:eastAsia="华文楷体"/>
          <w:color w:val="333333"/>
          <w:sz w:val="22"/>
        </w:rPr>
        <w:t>行业处于分化调整向结构性增长过渡阶段。</w:t>
      </w:r>
    </w:p>
    <w:p>
      <w:r>
        <w:rPr>
          <w:rFonts w:ascii="华文楷体" w:hAnsi="华文楷体" w:eastAsia="华文楷体"/>
          <w:color w:val="333333"/>
          <w:sz w:val="22"/>
        </w:rPr>
        <w:t>光伏：2026年一季度新增并网4118.9万千瓦（集中式1961.9万，分布式2157.0万），分布式占比首次超过集中式。行业出海格局深度重构：2025年70家光伏上市公司境外收入合计3412.55亿元（同比-2.12%），连续两年下滑，核心原因是"量增价减"。组件赛道境外收入同比下滑16.53%，而逆变器出海同比大增39.85%。阳光电源以539.92亿元境外收入登顶，增量主要来自储能业务（同比+49.39%），储能业务已正式取代逆变器成为其第一大核心业务。</w:t>
      </w:r>
    </w:p>
    <w:p>
      <w:r>
        <w:rPr>
          <w:rFonts w:ascii="华文楷体" w:hAnsi="华文楷体" w:eastAsia="华文楷体"/>
          <w:color w:val="333333"/>
          <w:sz w:val="22"/>
        </w:rPr>
        <w:t>储能：动力电池产能过剩（2024年国内产能超2000GWh，产量不足900GWh，利用率低于50%），倒逼电池厂转向储能。瑞浦兰钧储能营收占比飙升至55.7%，首次超过动力电池；亿纬锂能储能占比增至39.76%。2小时储能系统EPC成本降至1043.82元/kWh（同比-13%），海外市场工商业储能毛利率达25%以上。动力电池工厂连夜改产储能，已成为行业确定性趋势。</w:t>
      </w:r>
    </w:p>
    <w:p>
      <w:r>
        <w:rPr>
          <w:rFonts w:ascii="华文楷体" w:hAnsi="华文楷体" w:eastAsia="华文楷体"/>
          <w:color w:val="333333"/>
          <w:sz w:val="22"/>
        </w:rPr>
        <w:t>价格：碳酸锂价格约15.7万元/吨，电芯报价升至0.38元/Wh。央国企光伏组件集采总规模达78.4GW（2026年以来），高效组件成为硬通货，BC技术路线加速渗透。</w:t>
      </w:r>
    </w:p>
    <w:p>
      <w:pPr>
        <w:pStyle w:val="Heading2"/>
      </w:pPr>
      <w:r>
        <w:rPr>
          <w:rFonts w:ascii="华文楷体" w:hAnsi="华文楷体" w:eastAsia="华文楷体"/>
          <w:b/>
          <w:color w:val="2C3E50"/>
          <w:sz w:val="30"/>
        </w:rPr>
        <w:t>4. 上下游产业链动态</w:t>
      </w:r>
    </w:p>
    <w:p>
      <w:r>
        <w:rPr>
          <w:rFonts w:ascii="华文楷体" w:hAnsi="华文楷体" w:eastAsia="华文楷体"/>
          <w:color w:val="333333"/>
          <w:sz w:val="22"/>
        </w:rPr>
        <w:t>上游：硅料/硅片/电池片出口结构深度调整。2025年电池片出口113GW（同比+94.8%），组件出口258GW（仅+7.9%），呈现"中国供上游、海外做组装"格局。光伏辅材、加工设备出口分别增长12.2%和25.62%。</w:t>
      </w:r>
    </w:p>
    <w:p>
      <w:r>
        <w:rPr>
          <w:rFonts w:ascii="华文楷体" w:hAnsi="华文楷体" w:eastAsia="华文楷体"/>
          <w:color w:val="333333"/>
          <w:sz w:val="22"/>
        </w:rPr>
        <w:t>中游：储能系统集成环节需求爆发，阳光电源、科华数能、楚能新能源等企业主导。大容量电芯（280Ah/314Ah/500Ah+）普及推动储能系统度电成本持续下降。</w:t>
      </w:r>
    </w:p>
    <w:p>
      <w:r>
        <w:rPr>
          <w:rFonts w:ascii="华文楷体" w:hAnsi="华文楷体" w:eastAsia="华文楷体"/>
          <w:color w:val="333333"/>
          <w:sz w:val="22"/>
        </w:rPr>
        <w:t>下游：工商业储能回本周期从5年缩短至3年以内，高电价地区甚至2年。AI算力中心电力需求激增，成为储能新增量。欧洲户用光伏配储渗透率超50%，意大利、奥地利快速跟进。</w:t>
      </w:r>
    </w:p>
    <w:p>
      <w:r>
        <w:rPr>
          <w:rFonts w:ascii="华文楷体" w:hAnsi="华文楷体" w:eastAsia="华文楷体"/>
          <w:color w:val="333333"/>
          <w:sz w:val="22"/>
        </w:rPr>
        <w:t>资金占用：动力电池产能过剩导致设备折旧压力加大，三元锂产线资产闲置。储能环节资金占用增加但利润空间改善，适合供应链金融和票据产品切入。</w:t>
      </w:r>
    </w:p>
    <w:p>
      <w:pPr>
        <w:pStyle w:val="Heading1"/>
      </w:pPr>
      <w:r>
        <w:rPr>
          <w:rFonts w:ascii="华文楷体" w:hAnsi="华文楷体" w:eastAsia="华文楷体"/>
          <w:b/>
          <w:color w:val="1A568E"/>
          <w:sz w:val="40"/>
        </w:rPr>
        <w:t>二、浙江地区动态与区域机会</w:t>
      </w:r>
    </w:p>
    <w:p>
      <w:pPr>
        <w:pStyle w:val="Heading2"/>
      </w:pPr>
      <w:r>
        <w:rPr>
          <w:rFonts w:ascii="华文楷体" w:hAnsi="华文楷体" w:eastAsia="华文楷体"/>
          <w:b/>
          <w:color w:val="2C3E50"/>
          <w:sz w:val="30"/>
        </w:rPr>
        <w:t>1. 浙江政策与政府规划</w:t>
      </w:r>
    </w:p>
    <w:p>
      <w:r>
        <w:rPr>
          <w:rFonts w:ascii="华文楷体" w:hAnsi="华文楷体" w:eastAsia="华文楷体"/>
          <w:color w:val="333333"/>
          <w:sz w:val="22"/>
        </w:rPr>
        <w:t>宁波市发布《深化制造业数字化转型行动方案（2026-2028年）》，明确提出探索"零碳工厂"和"零碳园区"建设，推广分布式光伏、低碳储能、多能互补等技术。该方案覆盖"人工智能+制造"全场景，将直接拉动本地新能源设备和服务需求。</w:t>
      </w:r>
    </w:p>
    <w:p>
      <w:r>
        <w:rPr>
          <w:rFonts w:ascii="华文楷体" w:hAnsi="华文楷体" w:eastAsia="华文楷体"/>
          <w:color w:val="333333"/>
          <w:sz w:val="22"/>
        </w:rPr>
        <w:t>5月15日，高新技术成果产业化"创新引擎培育全国行"首站活动在宁波举办，聚焦先进制造、新材料、新一代信息技术等领域高新技术成果产业化，为供需对接和协同创新搭建平台。</w:t>
      </w:r>
    </w:p>
    <w:p>
      <w:r>
        <w:rPr>
          <w:rFonts w:ascii="华文楷体" w:hAnsi="华文楷体" w:eastAsia="华文楷体"/>
          <w:color w:val="333333"/>
          <w:sz w:val="22"/>
        </w:rPr>
        <w:t>浙江省"十五五"能源规划编制持续推进，预计将延续"415X"先进制造业集群中新能源相关子集群（光伏、储能、新能源汽车等）的政策支持力度。分布式光伏三色分区管理新政实施后，浙江分布式光伏接入条件将显著放宽，有利于嘉兴、湖州等分布式光伏重点区域项目落地。</w:t>
      </w:r>
    </w:p>
    <w:p>
      <w:pPr>
        <w:pStyle w:val="Heading2"/>
      </w:pPr>
      <w:r>
        <w:rPr>
          <w:rFonts w:ascii="华文楷体" w:hAnsi="华文楷体" w:eastAsia="华文楷体"/>
          <w:b/>
          <w:color w:val="2C3E50"/>
          <w:sz w:val="30"/>
        </w:rPr>
        <w:t>2. 浙江重点产业与区域机会</w:t>
      </w:r>
    </w:p>
    <w:p>
      <w:r>
        <w:rPr>
          <w:rFonts w:ascii="华文楷体" w:hAnsi="华文楷体" w:eastAsia="华文楷体"/>
          <w:color w:val="333333"/>
          <w:sz w:val="22"/>
        </w:rPr>
        <w:t>光伏产业集群：浙江拥有从硅片、电池片到组件的完整产业链。嘉兴、湖州是分布式光伏重点区域；宁波、绍兴聚集了逆变器、储能系统集成企业；温州是低压电器和光伏配套设备生产基地。</w:t>
      </w:r>
    </w:p>
    <w:p>
      <w:r>
        <w:rPr>
          <w:rFonts w:ascii="华文楷体" w:hAnsi="华文楷体" w:eastAsia="华文楷体"/>
          <w:color w:val="333333"/>
          <w:sz w:val="22"/>
        </w:rPr>
        <w:t>储能产业：宁波、杭州聚集了一批储能电池PACK和系统集成企业。亿纬锂能在江苏启东和福建上杭新建储能基地（合计110GWh），长三角区域储能产业链配套需求将进一步释放。</w:t>
      </w:r>
    </w:p>
    <w:p>
      <w:r>
        <w:rPr>
          <w:rFonts w:ascii="华文楷体" w:hAnsi="华文楷体" w:eastAsia="华文楷体"/>
          <w:color w:val="333333"/>
          <w:sz w:val="22"/>
        </w:rPr>
        <w:t>区域扫客优先级：嘉兴（分布式光伏密集）、宁波（储能+逆变器+零碳园区）、杭州（算力+储能+数智化）、温州（低压电器+光伏配套）、绍兴（光伏辅材+纺织绿电改造）。</w:t>
      </w:r>
    </w:p>
    <w:p>
      <w:pPr>
        <w:pStyle w:val="Heading2"/>
      </w:pPr>
      <w:r>
        <w:rPr>
          <w:rFonts w:ascii="华文楷体" w:hAnsi="华文楷体" w:eastAsia="华文楷体"/>
          <w:b/>
          <w:color w:val="2C3E50"/>
          <w:sz w:val="30"/>
        </w:rPr>
        <w:t>3. 浙江上下游产业链动态</w:t>
      </w:r>
    </w:p>
    <w:p>
      <w:r>
        <w:rPr>
          <w:rFonts w:ascii="华文楷体" w:hAnsi="华文楷体" w:eastAsia="华文楷体"/>
          <w:color w:val="333333"/>
          <w:sz w:val="22"/>
        </w:rPr>
        <w:t>上游：浙江的光伏辅材（胶膜、背板、边框）和低压电器企业受益于分布式光伏扩容。多用户绿电直连政策将拉动园区级储能和微电网建设需求。</w:t>
      </w:r>
    </w:p>
    <w:p>
      <w:r>
        <w:rPr>
          <w:rFonts w:ascii="华文楷体" w:hAnsi="华文楷体" w:eastAsia="华文楷体"/>
          <w:color w:val="333333"/>
          <w:sz w:val="22"/>
        </w:rPr>
        <w:t>中游：宁波的逆变器企业和储能集成商直接受益于储能"必配"政策。杭州的数智化服务商可为储能电站和绿电直连项目提供智能调度平台。</w:t>
      </w:r>
    </w:p>
    <w:p>
      <w:r>
        <w:rPr>
          <w:rFonts w:ascii="华文楷体" w:hAnsi="华文楷体" w:eastAsia="华文楷体"/>
          <w:color w:val="333333"/>
          <w:sz w:val="22"/>
        </w:rPr>
        <w:t>下游：浙江出口型企业（尤其是纺织、化工、机械制造）面临欧盟碳边境调节机制压力，绿电直连政策为其提供了低成本获取绿电的新路径。</w:t>
      </w:r>
    </w:p>
    <w:p>
      <w:pPr>
        <w:pStyle w:val="Heading2"/>
      </w:pPr>
      <w:r>
        <w:rPr>
          <w:rFonts w:ascii="华文楷体" w:hAnsi="华文楷体" w:eastAsia="华文楷体"/>
          <w:b/>
          <w:color w:val="2C3E50"/>
          <w:sz w:val="30"/>
        </w:rPr>
        <w:t>4. 银行展业机会</w:t>
      </w:r>
    </w:p>
    <w:p>
      <w:pPr>
        <w:pStyle w:val="ListBullet"/>
      </w:pPr>
      <w:r>
        <w:rPr>
          <w:rFonts w:ascii="华文楷体" w:hAnsi="华文楷体" w:eastAsia="华文楷体"/>
          <w:color w:val="333333"/>
          <w:sz w:val="22"/>
        </w:rPr>
        <w:t>储能项目融资：十五五储能方案即将发布+绿电直连强制配储，储能系统集成商和储能电站投资运营商将产生密集的项目贷款和设备融资需求。建议以科技创新和技术更新改造再贷款、设备融资租赁切入。</w:t>
      </w:r>
    </w:p>
    <w:p>
      <w:pPr>
        <w:pStyle w:val="ListBullet"/>
      </w:pPr>
      <w:r>
        <w:rPr>
          <w:rFonts w:ascii="华文楷体" w:hAnsi="华文楷体" w:eastAsia="华文楷体"/>
          <w:color w:val="333333"/>
          <w:sz w:val="22"/>
        </w:rPr>
        <w:t>零碳园区综合金融：宁波零碳园区政策推广，园区内企业分布式光伏+储能+微电网改造需要综合金融方案，涵盖项目贷款、票据贴现、供应链金融和现金管理。</w:t>
      </w:r>
    </w:p>
    <w:p>
      <w:pPr>
        <w:pStyle w:val="ListBullet"/>
      </w:pPr>
      <w:r>
        <w:rPr>
          <w:rFonts w:ascii="华文楷体" w:hAnsi="华文楷体" w:eastAsia="华文楷体"/>
          <w:color w:val="333333"/>
          <w:sz w:val="22"/>
        </w:rPr>
        <w:t>出口企业绿电改造：欧盟CBAM压力下，浙江出口企业绿电消费意愿增强。多用户绿电直连为其提供了新路径，银行可配套跨境结算+绿电项目融资。</w:t>
      </w:r>
    </w:p>
    <w:p>
      <w:pPr>
        <w:pStyle w:val="ListBullet"/>
      </w:pPr>
      <w:r>
        <w:rPr>
          <w:rFonts w:ascii="华文楷体" w:hAnsi="华文楷体" w:eastAsia="华文楷体"/>
          <w:color w:val="333333"/>
          <w:sz w:val="22"/>
        </w:rPr>
        <w:t>逆变器企业跨境金融：宁波、杭州逆变器企业海外订单持续增长，配套人民币国际证+福费廷、跨境支付结算、汇率避险。</w:t>
      </w:r>
    </w:p>
    <w:p>
      <w:pPr>
        <w:pStyle w:val="Heading1"/>
      </w:pPr>
      <w:r>
        <w:rPr>
          <w:rFonts w:ascii="华文楷体" w:hAnsi="华文楷体" w:eastAsia="华文楷体"/>
          <w:b/>
          <w:color w:val="1A568E"/>
          <w:sz w:val="40"/>
        </w:rPr>
        <w:t>三、重点企业推荐</w:t>
      </w:r>
    </w:p>
    <w:p>
      <w:pPr>
        <w:pStyle w:val="Heading2"/>
      </w:pPr>
      <w:r>
        <w:rPr>
          <w:rFonts w:ascii="华文楷体" w:hAnsi="华文楷体" w:eastAsia="华文楷体"/>
          <w:b/>
          <w:color w:val="2C3E50"/>
          <w:sz w:val="30"/>
        </w:rPr>
        <w:t>正泰集团股份有限公司</w:t>
      </w:r>
    </w:p>
    <w:p>
      <w:pPr>
        <w:pStyle w:val="ListBullet"/>
      </w:pPr>
      <w:r>
        <w:rPr>
          <w:rFonts w:ascii="华文楷体" w:hAnsi="华文楷体" w:eastAsia="华文楷体"/>
          <w:color w:val="333333"/>
          <w:sz w:val="22"/>
        </w:rPr>
        <w:t>推荐等级：高</w:t>
      </w:r>
    </w:p>
    <w:p>
      <w:pPr>
        <w:pStyle w:val="ListBullet"/>
      </w:pPr>
      <w:r>
        <w:rPr>
          <w:rFonts w:ascii="华文楷体" w:hAnsi="华文楷体" w:eastAsia="华文楷体"/>
          <w:color w:val="333333"/>
          <w:sz w:val="22"/>
        </w:rPr>
        <w:t>所属行业：光伏设备/低压电器/储能</w:t>
      </w:r>
    </w:p>
    <w:p>
      <w:pPr>
        <w:pStyle w:val="ListBullet"/>
      </w:pPr>
      <w:r>
        <w:rPr>
          <w:rFonts w:ascii="华文楷体" w:hAnsi="华文楷体" w:eastAsia="华文楷体"/>
          <w:color w:val="333333"/>
          <w:sz w:val="22"/>
        </w:rPr>
        <w:t>所在地区：温州</w:t>
      </w:r>
    </w:p>
    <w:p>
      <w:pPr>
        <w:pStyle w:val="ListBullet"/>
      </w:pPr>
      <w:r>
        <w:rPr>
          <w:rFonts w:ascii="华文楷体" w:hAnsi="华文楷体" w:eastAsia="华文楷体"/>
          <w:color w:val="333333"/>
          <w:sz w:val="22"/>
        </w:rPr>
        <w:t>产业链位置：中游（组件+逆变器+储能系统集成）+下游（电站运营）</w:t>
      </w:r>
    </w:p>
    <w:p>
      <w:pPr>
        <w:pStyle w:val="ListBullet"/>
      </w:pPr>
      <w:r>
        <w:rPr>
          <w:rFonts w:ascii="华文楷体" w:hAnsi="华文楷体" w:eastAsia="华文楷体"/>
          <w:color w:val="333333"/>
          <w:sz w:val="22"/>
        </w:rPr>
        <w:t>推荐方向：供应链金融/跨境结算/票据/现金管理/综合金融</w:t>
      </w:r>
    </w:p>
    <w:p>
      <w:r>
        <w:rPr>
          <w:rFonts w:ascii="华文楷体" w:hAnsi="华文楷体" w:eastAsia="华文楷体"/>
          <w:b/>
          <w:color w:val="333333"/>
          <w:sz w:val="22"/>
        </w:rPr>
        <w:t>企业关键信息</w:t>
      </w:r>
    </w:p>
    <w:p>
      <w:pPr>
        <w:pStyle w:val="ListBullet"/>
      </w:pPr>
      <w:r>
        <w:rPr>
          <w:rFonts w:ascii="华文楷体" w:hAnsi="华文楷体" w:eastAsia="华文楷体"/>
          <w:color w:val="333333"/>
          <w:sz w:val="22"/>
        </w:rPr>
        <w:t>基本情况：正泰集团始创于1984年，总部位于温州，是中国低压电器龙头企业和光伏产业链重要参与者。业务覆盖光伏组件、逆变器、储能系统、电站EPC及运营。正泰电器（601877.SH）2010年在上交所上市，成为中国第一家以低压电器为主业的A股上市公司。2025年推进正泰新能科创板上市进程，海外业务占比持续提升，业务遍及140多个国家和地区，拥有超3万名员工。</w:t>
      </w:r>
    </w:p>
    <w:p>
      <w:pPr>
        <w:pStyle w:val="ListBullet"/>
      </w:pPr>
      <w:r>
        <w:rPr>
          <w:rFonts w:ascii="华文楷体" w:hAnsi="华文楷体" w:eastAsia="华文楷体"/>
          <w:color w:val="333333"/>
          <w:sz w:val="22"/>
        </w:rPr>
        <w:t>高层与团队背景：南存辉，1963年生，浙江乐清人，北京商学院（现北京工商大学）企业管理专业硕士，正高级经济师。13岁辍学修鞋起家，1984年贷款5万元在乐清创办求精开关厂（正泰前身），1991年改制为正泰电器。现任正泰集团董事长、全国政协常委、中国民间商会副会长、中国电器工业协会会长、浙商总会会长。2010年带领正泰电器上市，2015-2016年任温州民商银行首任董事长。</w:t>
      </w:r>
    </w:p>
    <w:p>
      <w:pPr>
        <w:pStyle w:val="ListBullet"/>
      </w:pPr>
      <w:r>
        <w:rPr>
          <w:rFonts w:ascii="华文楷体" w:hAnsi="华文楷体" w:eastAsia="华文楷体"/>
          <w:color w:val="333333"/>
          <w:sz w:val="22"/>
        </w:rPr>
        <w:t>银行关注点：南存辉深耕低压电器和光伏领域40余年，产业资源整合能力和资本市场运作经验极强。浙商总会会长身份使其在浙江企业圈层中具有号召力，可带动批量获客。正泰新能IPO进程将带来募集资金管理需求。</w:t>
      </w:r>
    </w:p>
    <w:p>
      <w:r>
        <w:rPr>
          <w:rFonts w:ascii="华文楷体" w:hAnsi="华文楷体" w:eastAsia="华文楷体"/>
          <w:b/>
          <w:color w:val="333333"/>
          <w:sz w:val="22"/>
        </w:rPr>
        <w:t>推荐理由</w:t>
      </w:r>
    </w:p>
    <w:p>
      <w:pPr>
        <w:pStyle w:val="ListBullet"/>
      </w:pPr>
      <w:r>
        <w:rPr>
          <w:rFonts w:ascii="华文楷体" w:hAnsi="华文楷体" w:eastAsia="华文楷体"/>
          <w:color w:val="333333"/>
          <w:sz w:val="22"/>
        </w:rPr>
        <w:t>光伏出海结构性增长受益者：正泰逆变器业务逆势增长，与行业出海从组件转向逆变储能的趋势高度吻合。</w:t>
      </w:r>
    </w:p>
    <w:p>
      <w:pPr>
        <w:pStyle w:val="ListBullet"/>
      </w:pPr>
      <w:r>
        <w:rPr>
          <w:rFonts w:ascii="华文楷体" w:hAnsi="华文楷体" w:eastAsia="华文楷体"/>
          <w:color w:val="333333"/>
          <w:sz w:val="22"/>
        </w:rPr>
        <w:t>正泰新能科创板上市进程中，将带来募集资金管理、高管财富管理等综合金融需求。</w:t>
      </w:r>
    </w:p>
    <w:p>
      <w:pPr>
        <w:pStyle w:val="ListBullet"/>
      </w:pPr>
      <w:r>
        <w:rPr>
          <w:rFonts w:ascii="华文楷体" w:hAnsi="华文楷体" w:eastAsia="华文楷体"/>
          <w:color w:val="333333"/>
          <w:sz w:val="22"/>
        </w:rPr>
        <w:t>温州作为正泰大本营，产业集群效应强，可带动上下游批量获客。</w:t>
      </w:r>
    </w:p>
    <w:p>
      <w:r>
        <w:rPr>
          <w:rFonts w:ascii="华文楷体" w:hAnsi="华文楷体" w:eastAsia="华文楷体"/>
          <w:b/>
          <w:color w:val="333333"/>
          <w:sz w:val="22"/>
        </w:rPr>
        <w:t>银行展业机会</w:t>
      </w:r>
    </w:p>
    <w:p>
      <w:pPr>
        <w:pStyle w:val="ListBullet"/>
      </w:pPr>
      <w:r>
        <w:rPr>
          <w:rFonts w:ascii="华文楷体" w:hAnsi="华文楷体" w:eastAsia="华文楷体"/>
          <w:color w:val="333333"/>
          <w:sz w:val="22"/>
        </w:rPr>
        <w:t>IPO配套：募集资金监管、数字财资、资产池、高管家族信托和私人理财权益。</w:t>
      </w:r>
    </w:p>
    <w:p>
      <w:pPr>
        <w:pStyle w:val="ListBullet"/>
      </w:pPr>
      <w:r>
        <w:rPr>
          <w:rFonts w:ascii="华文楷体" w:hAnsi="华文楷体" w:eastAsia="华文楷体"/>
          <w:color w:val="333333"/>
          <w:sz w:val="22"/>
        </w:rPr>
        <w:t>供应链金融：上游辅材供应商（付融通/商票保贴）和下游经销商（订货贷/平台数字贷）。</w:t>
      </w:r>
    </w:p>
    <w:p>
      <w:pPr>
        <w:pStyle w:val="ListBullet"/>
      </w:pPr>
      <w:r>
        <w:rPr>
          <w:rFonts w:ascii="华文楷体" w:hAnsi="华文楷体" w:eastAsia="华文楷体"/>
          <w:color w:val="333333"/>
          <w:sz w:val="22"/>
        </w:rPr>
        <w:t>跨境结算：海外逆变器/储能业务扩张，配套跨境支付结算+人民币国际证+福费廷。</w:t>
      </w:r>
    </w:p>
    <w:p>
      <w:r>
        <w:rPr>
          <w:rFonts w:ascii="华文楷体" w:hAnsi="华文楷体" w:eastAsia="华文楷体"/>
          <w:color w:val="333333"/>
          <w:sz w:val="22"/>
        </w:rPr>
        <w:t>推荐产品组合：建议以数字财资+资产池切入，解决正泰多账户资金管理需求；配套使用商票保贴+跨境支付结算，用于上下游供应链融资和海外业务拓展。正泰新能IPO进程中可提供募集资金监管和高管财富管理服务。具体额度、期限待沟通。</w:t>
      </w:r>
    </w:p>
    <w:p>
      <w:r>
        <w:rPr>
          <w:rFonts w:ascii="华文楷体" w:hAnsi="华文楷体" w:eastAsia="华文楷体"/>
          <w:color w:val="333333"/>
          <w:sz w:val="22"/>
        </w:rPr>
        <w:t>客户经理切入话术：正泰新能上市进程中，正泰集团整体资金管理和上下游供应链金融需求将集中释放。我们可以在募集资金监管、上下游票据融资、跨境结算等环节提供一站式方案，帮助正泰优化资金管理效率、降低供应链融资成本。</w:t>
      </w:r>
    </w:p>
    <w:p>
      <w:r>
        <w:rPr>
          <w:rFonts w:ascii="华文楷体" w:hAnsi="华文楷体" w:eastAsia="华文楷体"/>
          <w:color w:val="333333"/>
          <w:sz w:val="22"/>
        </w:rPr>
        <w:t>风险提示：暂无明显公开风险，仍需结合征信、流水、财报、合同、客户结构和实地尽调确认。光伏价格战持续可能压缩组件环节利润率。</w:t>
      </w:r>
    </w:p>
    <w:p>
      <w:pPr>
        <w:pStyle w:val="Heading2"/>
      </w:pPr>
      <w:r>
        <w:rPr>
          <w:rFonts w:ascii="华文楷体" w:hAnsi="华文楷体" w:eastAsia="华文楷体"/>
          <w:b/>
          <w:color w:val="2C3E50"/>
          <w:sz w:val="30"/>
        </w:rPr>
        <w:t>锦浪科技股份有限公司</w:t>
      </w:r>
    </w:p>
    <w:p>
      <w:pPr>
        <w:pStyle w:val="ListBullet"/>
      </w:pPr>
      <w:r>
        <w:rPr>
          <w:rFonts w:ascii="华文楷体" w:hAnsi="华文楷体" w:eastAsia="华文楷体"/>
          <w:color w:val="333333"/>
          <w:sz w:val="22"/>
        </w:rPr>
        <w:t>推荐等级：高</w:t>
      </w:r>
    </w:p>
    <w:p>
      <w:pPr>
        <w:pStyle w:val="ListBullet"/>
      </w:pPr>
      <w:r>
        <w:rPr>
          <w:rFonts w:ascii="华文楷体" w:hAnsi="华文楷体" w:eastAsia="华文楷体"/>
          <w:color w:val="333333"/>
          <w:sz w:val="22"/>
        </w:rPr>
        <w:t>所属行业：光伏逆变器/储能系统</w:t>
      </w:r>
    </w:p>
    <w:p>
      <w:pPr>
        <w:pStyle w:val="ListBullet"/>
      </w:pPr>
      <w:r>
        <w:rPr>
          <w:rFonts w:ascii="华文楷体" w:hAnsi="华文楷体" w:eastAsia="华文楷体"/>
          <w:color w:val="333333"/>
          <w:sz w:val="22"/>
        </w:rPr>
        <w:t>所在地区：宁波（象山）</w:t>
      </w:r>
    </w:p>
    <w:p>
      <w:pPr>
        <w:pStyle w:val="ListBullet"/>
      </w:pPr>
      <w:r>
        <w:rPr>
          <w:rFonts w:ascii="华文楷体" w:hAnsi="华文楷体" w:eastAsia="华文楷体"/>
          <w:color w:val="333333"/>
          <w:sz w:val="22"/>
        </w:rPr>
        <w:t>产业链位置：中游（逆变器+储能系统）</w:t>
      </w:r>
    </w:p>
    <w:p>
      <w:pPr>
        <w:pStyle w:val="ListBullet"/>
      </w:pPr>
      <w:r>
        <w:rPr>
          <w:rFonts w:ascii="华文楷体" w:hAnsi="华文楷体" w:eastAsia="华文楷体"/>
          <w:color w:val="333333"/>
          <w:sz w:val="22"/>
        </w:rPr>
        <w:t>推荐方向：跨境结算/汇率避险/供应链金融/票据/现金管理</w:t>
      </w:r>
    </w:p>
    <w:p>
      <w:r>
        <w:rPr>
          <w:rFonts w:ascii="华文楷体" w:hAnsi="华文楷体" w:eastAsia="华文楷体"/>
          <w:b/>
          <w:color w:val="333333"/>
          <w:sz w:val="22"/>
        </w:rPr>
        <w:t>企业关键信息</w:t>
      </w:r>
    </w:p>
    <w:p>
      <w:pPr>
        <w:pStyle w:val="ListBullet"/>
      </w:pPr>
      <w:r>
        <w:rPr>
          <w:rFonts w:ascii="华文楷体" w:hAnsi="华文楷体" w:eastAsia="华文楷体"/>
          <w:color w:val="333333"/>
          <w:sz w:val="22"/>
        </w:rPr>
        <w:t>基本情况：锦浪科技总部位于宁波象山，是全球领先的组串式逆变器制造商和储能系统解决方案提供商。2019年在深交所创业板上市（300763.SZ）。产品广泛应用于户用、工商业和地面电站场景，海外收入占比持续提升，在欧洲、澳大利亚、东南亚等市场具有较强竞争力。全球储能逆变器CR5达70%，锦浪科技位列前五，与阳光电源、华为、固德威、德业股份合计份额超65%。</w:t>
      </w:r>
    </w:p>
    <w:p>
      <w:pPr>
        <w:pStyle w:val="ListBullet"/>
      </w:pPr>
      <w:r>
        <w:rPr>
          <w:rFonts w:ascii="华文楷体" w:hAnsi="华文楷体" w:eastAsia="华文楷体"/>
          <w:color w:val="333333"/>
          <w:sz w:val="22"/>
        </w:rPr>
        <w:t>高层与团队背景：王一鸣，1981年生，上海交通大学信息工程专业学士，英国爱丁堡大学电子与电信专业硕士，教授级高级工程师。锦浪科技创始人之一，现任董事长兼总经理，入选国家特聘专家。同时担任欧赛瑞斯执行董事、Solis董事、新启锦董事。杨波，浙江大学电气工程博士，国家自然科学二等奖获得者，浙大电气工程学院博士后出站后留校任专职科研人员，2017年加入锦浪任总经理兼董事，核心技术带头人。</w:t>
      </w:r>
    </w:p>
    <w:p>
      <w:pPr>
        <w:pStyle w:val="ListBullet"/>
      </w:pPr>
      <w:r>
        <w:rPr>
          <w:rFonts w:ascii="华文楷体" w:hAnsi="华文楷体" w:eastAsia="华文楷体"/>
          <w:color w:val="333333"/>
          <w:sz w:val="22"/>
        </w:rPr>
        <w:t>银行关注点：王一鸣兼具国际化教育背景（上海交大+爱丁堡大学）和产业深耕经验，技术+商业双轮驱动。杨波的浙大科研背景和学术成果为公司提供了技术壁垒和品牌背书。公司作为储能逆变器头部企业，在绿电直连强制配储政策下直接受益。</w:t>
      </w:r>
    </w:p>
    <w:p>
      <w:r>
        <w:rPr>
          <w:rFonts w:ascii="华文楷体" w:hAnsi="华文楷体" w:eastAsia="华文楷体"/>
          <w:b/>
          <w:color w:val="333333"/>
          <w:sz w:val="22"/>
        </w:rPr>
        <w:t>推荐理由</w:t>
      </w:r>
    </w:p>
    <w:p>
      <w:pPr>
        <w:pStyle w:val="ListBullet"/>
      </w:pPr>
      <w:r>
        <w:rPr>
          <w:rFonts w:ascii="华文楷体" w:hAnsi="华文楷体" w:eastAsia="华文楷体"/>
          <w:color w:val="333333"/>
          <w:sz w:val="22"/>
        </w:rPr>
        <w:t>多用户绿电直连政策强制配储，储能逆变器需求爆发，锦浪作为全球前五的直接受益。</w:t>
      </w:r>
    </w:p>
    <w:p>
      <w:pPr>
        <w:pStyle w:val="ListBullet"/>
      </w:pPr>
      <w:r>
        <w:rPr>
          <w:rFonts w:ascii="华文楷体" w:hAnsi="华文楷体" w:eastAsia="华文楷体"/>
          <w:color w:val="333333"/>
          <w:sz w:val="22"/>
        </w:rPr>
        <w:t>海外户储和工商业储能在欧洲、澳洲市场持续放量，出口型业务需要跨境金融配套。</w:t>
      </w:r>
    </w:p>
    <w:p>
      <w:pPr>
        <w:pStyle w:val="ListBullet"/>
      </w:pPr>
      <w:r>
        <w:rPr>
          <w:rFonts w:ascii="华文楷体" w:hAnsi="华文楷体" w:eastAsia="华文楷体"/>
          <w:color w:val="333333"/>
          <w:sz w:val="22"/>
        </w:rPr>
        <w:t>宁波象山总部企业，本地化营销便利，可辐射带动供应商和经销商营销。</w:t>
      </w:r>
    </w:p>
    <w:p>
      <w:r>
        <w:rPr>
          <w:rFonts w:ascii="华文楷体" w:hAnsi="华文楷体" w:eastAsia="华文楷体"/>
          <w:b/>
          <w:color w:val="333333"/>
          <w:sz w:val="22"/>
        </w:rPr>
        <w:t>银行展业机会</w:t>
      </w:r>
    </w:p>
    <w:p>
      <w:pPr>
        <w:pStyle w:val="ListBullet"/>
      </w:pPr>
      <w:r>
        <w:rPr>
          <w:rFonts w:ascii="华文楷体" w:hAnsi="华文楷体" w:eastAsia="华文楷体"/>
          <w:color w:val="333333"/>
          <w:sz w:val="22"/>
        </w:rPr>
        <w:t>跨境结算+汇率避险：海外收入占比高，配套人民币国际证+福费廷、跨境支付结算、平安避险（汇率锁汇）。</w:t>
      </w:r>
    </w:p>
    <w:p>
      <w:pPr>
        <w:pStyle w:val="ListBullet"/>
      </w:pPr>
      <w:r>
        <w:rPr>
          <w:rFonts w:ascii="华文楷体" w:hAnsi="华文楷体" w:eastAsia="华文楷体"/>
          <w:color w:val="333333"/>
          <w:sz w:val="22"/>
        </w:rPr>
        <w:t>供应链金融：上游电子元器件/功率半导体供应商的付融通+商票保贴。</w:t>
      </w:r>
    </w:p>
    <w:p>
      <w:pPr>
        <w:pStyle w:val="ListBullet"/>
      </w:pPr>
      <w:r>
        <w:rPr>
          <w:rFonts w:ascii="华文楷体" w:hAnsi="华文楷体" w:eastAsia="华文楷体"/>
          <w:color w:val="333333"/>
          <w:sz w:val="22"/>
        </w:rPr>
        <w:t>现金管理：多币种账户管理和全球资金归集，配套数字财资+资产池。</w:t>
      </w:r>
    </w:p>
    <w:p>
      <w:r>
        <w:rPr>
          <w:rFonts w:ascii="华文楷体" w:hAnsi="华文楷体" w:eastAsia="华文楷体"/>
          <w:color w:val="333333"/>
          <w:sz w:val="22"/>
        </w:rPr>
        <w:t>推荐产品组合：建议以跨境支付结算+平安避险切入，解决锦浪海外业务汇率风险管理需求；配套使用付融通+数字财资，用于上游供应商账款周转和多币种资金管理。具体额度、期限待沟通。</w:t>
      </w:r>
    </w:p>
    <w:p>
      <w:r>
        <w:rPr>
          <w:rFonts w:ascii="华文楷体" w:hAnsi="华文楷体" w:eastAsia="华文楷体"/>
          <w:color w:val="333333"/>
          <w:sz w:val="22"/>
        </w:rPr>
        <w:t>客户经理切入话术：锦浪海外储能在欧洲、澳洲市场持续放量，汇率波动对利润影响较大。我们可以从跨境结算和汇率锁汇切入，同时配合供应链票据产品，帮助锦浪降低汇率风险和资金成本。</w:t>
      </w:r>
    </w:p>
    <w:p>
      <w:r>
        <w:rPr>
          <w:rFonts w:ascii="华文楷体" w:hAnsi="华文楷体" w:eastAsia="华文楷体"/>
          <w:color w:val="333333"/>
          <w:sz w:val="22"/>
        </w:rPr>
        <w:t>风险提示：暂无明显公开风险，仍需结合征信、流水、财报、合同、客户结构和实地尽调确认。逆变器行业竞争激烈，毛利率可能承压；海外贸易政策变化可能影响出口收入。</w:t>
      </w:r>
    </w:p>
    <w:p>
      <w:pPr>
        <w:pStyle w:val="Heading2"/>
      </w:pPr>
      <w:r>
        <w:rPr>
          <w:rFonts w:ascii="华文楷体" w:hAnsi="华文楷体" w:eastAsia="华文楷体"/>
          <w:b/>
          <w:color w:val="2C3E50"/>
          <w:sz w:val="30"/>
        </w:rPr>
        <w:t>横店集团东磁股份有限公司</w:t>
      </w:r>
    </w:p>
    <w:p>
      <w:pPr>
        <w:pStyle w:val="ListBullet"/>
      </w:pPr>
      <w:r>
        <w:rPr>
          <w:rFonts w:ascii="华文楷体" w:hAnsi="华文楷体" w:eastAsia="华文楷体"/>
          <w:color w:val="333333"/>
          <w:sz w:val="22"/>
        </w:rPr>
        <w:t>推荐等级：中</w:t>
      </w:r>
    </w:p>
    <w:p>
      <w:pPr>
        <w:pStyle w:val="ListBullet"/>
      </w:pPr>
      <w:r>
        <w:rPr>
          <w:rFonts w:ascii="华文楷体" w:hAnsi="华文楷体" w:eastAsia="华文楷体"/>
          <w:color w:val="333333"/>
          <w:sz w:val="22"/>
        </w:rPr>
        <w:t>所属行业：光伏组件/磁性材料</w:t>
      </w:r>
    </w:p>
    <w:p>
      <w:pPr>
        <w:pStyle w:val="ListBullet"/>
      </w:pPr>
      <w:r>
        <w:rPr>
          <w:rFonts w:ascii="华文楷体" w:hAnsi="华文楷体" w:eastAsia="华文楷体"/>
          <w:color w:val="333333"/>
          <w:sz w:val="22"/>
        </w:rPr>
        <w:t>所在地区：金华（东阳）</w:t>
      </w:r>
    </w:p>
    <w:p>
      <w:pPr>
        <w:pStyle w:val="ListBullet"/>
      </w:pPr>
      <w:r>
        <w:rPr>
          <w:rFonts w:ascii="华文楷体" w:hAnsi="华文楷体" w:eastAsia="华文楷体"/>
          <w:color w:val="333333"/>
          <w:sz w:val="22"/>
        </w:rPr>
        <w:t>产业链位置：中游（光伏组件+磁性材料）</w:t>
      </w:r>
    </w:p>
    <w:p>
      <w:pPr>
        <w:pStyle w:val="ListBullet"/>
      </w:pPr>
      <w:r>
        <w:rPr>
          <w:rFonts w:ascii="华文楷体" w:hAnsi="华文楷体" w:eastAsia="华文楷体"/>
          <w:color w:val="333333"/>
          <w:sz w:val="22"/>
        </w:rPr>
        <w:t>推荐方向：供应链金融/票据/跨境结算/现金管理</w:t>
      </w:r>
    </w:p>
    <w:p>
      <w:r>
        <w:rPr>
          <w:rFonts w:ascii="华文楷体" w:hAnsi="华文楷体" w:eastAsia="华文楷体"/>
          <w:b/>
          <w:color w:val="333333"/>
          <w:sz w:val="22"/>
        </w:rPr>
        <w:t>企业关键信息</w:t>
      </w:r>
    </w:p>
    <w:p>
      <w:pPr>
        <w:pStyle w:val="ListBullet"/>
      </w:pPr>
      <w:r>
        <w:rPr>
          <w:rFonts w:ascii="华文楷体" w:hAnsi="华文楷体" w:eastAsia="华文楷体"/>
          <w:color w:val="333333"/>
          <w:sz w:val="22"/>
        </w:rPr>
        <w:t>基本情况：横店东磁始创于1980年，2006年在深交所上市（002056.SZ），总部位于金华东阳。主营磁性材料+器件、光伏+锂电两大产业群，拥有年产29万吨磁性材料、23GW太阳能电池及21GW组件的生产能力，在印尼、越南等地建成海外生产基地。铁氧体磁性材料行业全球龙头，全球首批获得低碳认证的光伏组件制造企业，已主持或参与62项国际、国家、行业标准制定。</w:t>
      </w:r>
    </w:p>
    <w:p>
      <w:pPr>
        <w:pStyle w:val="ListBullet"/>
      </w:pPr>
      <w:r>
        <w:rPr>
          <w:rFonts w:ascii="华文楷体" w:hAnsi="华文楷体" w:eastAsia="华文楷体"/>
          <w:color w:val="333333"/>
          <w:sz w:val="22"/>
        </w:rPr>
        <w:t>高层与团队背景：任海亮，1976年生，硕士学历，中欧国际工商学院EMBA，正高级经济师。从横店东磁进出口部门业务员起步，历任科长、副总经理、总经理、太阳能事业部总经理，2017年至今任公司总经理、董事长。深耕磁性材料和光伏产业20余年，具备从基层到高管的完整产业经历。任晓明，1964年生，研究生学历，高级经济师，曾任横店集团东磁财务总监、总经理助理，2005年至今任公司副总经理，财务风控经验丰富。</w:t>
      </w:r>
    </w:p>
    <w:p>
      <w:pPr>
        <w:pStyle w:val="ListBullet"/>
      </w:pPr>
      <w:r>
        <w:rPr>
          <w:rFonts w:ascii="华文楷体" w:hAnsi="华文楷体" w:eastAsia="华文楷体"/>
          <w:color w:val="333333"/>
          <w:sz w:val="22"/>
        </w:rPr>
        <w:t>银行关注点：任海亮从基层业务员成长为董事长，产业根基深厚，决策链条短、执行力强。双主业结构（磁性材料提供稳定现金流+光伏组件贡献增长弹性）抗风险能力强。横店集团背景为其提供了丰富的产业资源和政府关系。</w:t>
      </w:r>
    </w:p>
    <w:p>
      <w:r>
        <w:rPr>
          <w:rFonts w:ascii="华文楷体" w:hAnsi="华文楷体" w:eastAsia="华文楷体"/>
          <w:b/>
          <w:color w:val="333333"/>
          <w:sz w:val="22"/>
        </w:rPr>
        <w:t>推荐理由</w:t>
      </w:r>
    </w:p>
    <w:p>
      <w:pPr>
        <w:pStyle w:val="ListBullet"/>
      </w:pPr>
      <w:r>
        <w:rPr>
          <w:rFonts w:ascii="华文楷体" w:hAnsi="华文楷体" w:eastAsia="华文楷体"/>
          <w:color w:val="333333"/>
          <w:sz w:val="22"/>
        </w:rPr>
        <w:t>双主业结构（磁性材料+光伏组件）抗风险能力强，磁性材料业务提供稳定现金流支撑。</w:t>
      </w:r>
    </w:p>
    <w:p>
      <w:pPr>
        <w:pStyle w:val="ListBullet"/>
      </w:pPr>
      <w:r>
        <w:rPr>
          <w:rFonts w:ascii="华文楷体" w:hAnsi="华文楷体" w:eastAsia="华文楷体"/>
          <w:color w:val="333333"/>
          <w:sz w:val="22"/>
        </w:rPr>
        <w:t>光伏组件出口面临贸易壁垒调整，需要银行配套跨境金融和供应链方案。</w:t>
      </w:r>
    </w:p>
    <w:p>
      <w:pPr>
        <w:pStyle w:val="ListBullet"/>
      </w:pPr>
      <w:r>
        <w:rPr>
          <w:rFonts w:ascii="华文楷体" w:hAnsi="华文楷体" w:eastAsia="华文楷体"/>
          <w:color w:val="333333"/>
          <w:sz w:val="22"/>
        </w:rPr>
        <w:t>金华地区光伏产业集群核心企业，可辐射带动上下游企业营销。</w:t>
      </w:r>
    </w:p>
    <w:p>
      <w:r>
        <w:rPr>
          <w:rFonts w:ascii="华文楷体" w:hAnsi="华文楷体" w:eastAsia="华文楷体"/>
          <w:b/>
          <w:color w:val="333333"/>
          <w:sz w:val="22"/>
        </w:rPr>
        <w:t>银行展业机会</w:t>
      </w:r>
    </w:p>
    <w:p>
      <w:pPr>
        <w:pStyle w:val="ListBullet"/>
      </w:pPr>
      <w:r>
        <w:rPr>
          <w:rFonts w:ascii="华文楷体" w:hAnsi="华文楷体" w:eastAsia="华文楷体"/>
          <w:color w:val="333333"/>
          <w:sz w:val="22"/>
        </w:rPr>
        <w:t>组件出口结算+人民币国际证+福费廷，降低美元利率高企下的融资成本。</w:t>
      </w:r>
    </w:p>
    <w:p>
      <w:pPr>
        <w:pStyle w:val="ListBullet"/>
      </w:pPr>
      <w:r>
        <w:rPr>
          <w:rFonts w:ascii="华文楷体" w:hAnsi="华文楷体" w:eastAsia="华文楷体"/>
          <w:color w:val="333333"/>
          <w:sz w:val="22"/>
        </w:rPr>
        <w:t>上游磁性材料和辅材供应商的付融通+商票保贴。</w:t>
      </w:r>
    </w:p>
    <w:p>
      <w:pPr>
        <w:pStyle w:val="ListBullet"/>
      </w:pPr>
      <w:r>
        <w:rPr>
          <w:rFonts w:ascii="华文楷体" w:hAnsi="华文楷体" w:eastAsia="华文楷体"/>
          <w:color w:val="333333"/>
          <w:sz w:val="22"/>
        </w:rPr>
        <w:t>现金管理：双主业多账户管理，数字财资+资产池。</w:t>
      </w:r>
    </w:p>
    <w:p>
      <w:r>
        <w:rPr>
          <w:rFonts w:ascii="华文楷体" w:hAnsi="华文楷体" w:eastAsia="华文楷体"/>
          <w:color w:val="333333"/>
          <w:sz w:val="22"/>
        </w:rPr>
        <w:t>推荐产品组合：建议以人民币国际证+福费廷切入，解决横店东磁组件出口业务的低成本融资需求；配套使用付融通+数字财资，用于上游供应商账款周转和多账户资金管理。具体额度、期限待沟通。</w:t>
      </w:r>
    </w:p>
    <w:p>
      <w:r>
        <w:rPr>
          <w:rFonts w:ascii="华文楷体" w:hAnsi="华文楷体" w:eastAsia="华文楷体"/>
          <w:color w:val="333333"/>
          <w:sz w:val="22"/>
        </w:rPr>
        <w:t>客户经理切入话术：横店东磁磁性材料业务现金流稳定，光伏出口业务在美元利率高企背景下融资成本压力大。人民币国际证+福费廷组合可以显著降低出口融资成本，同时磁性材料业务的稳定现金流也为整体授信提供了良好支撑。</w:t>
      </w:r>
    </w:p>
    <w:p>
      <w:r>
        <w:rPr>
          <w:rFonts w:ascii="华文楷体" w:hAnsi="华文楷体" w:eastAsia="华文楷体"/>
          <w:color w:val="333333"/>
          <w:sz w:val="22"/>
        </w:rPr>
        <w:t>风险提示：暂无明显公开风险，仍需结合征信、流水、财报、合同、客户结构和实地尽调确认。光伏组件出口贸易政策变化可能影响出口收入。</w:t>
      </w:r>
    </w:p>
    <w:p>
      <w:pPr>
        <w:pStyle w:val="Heading1"/>
      </w:pPr>
      <w:r>
        <w:rPr>
          <w:rFonts w:ascii="华文楷体" w:hAnsi="华文楷体" w:eastAsia="华文楷体"/>
          <w:b/>
          <w:color w:val="1A568E"/>
          <w:sz w:val="40"/>
        </w:rPr>
        <w:t>四、客户经理行动建议</w:t>
      </w:r>
    </w:p>
    <w:p>
      <w:pPr>
        <w:pStyle w:val="ListBullet"/>
      </w:pPr>
      <w:r>
        <w:rPr>
          <w:rFonts w:ascii="华文楷体" w:hAnsi="华文楷体" w:eastAsia="华文楷体"/>
          <w:color w:val="333333"/>
          <w:sz w:val="22"/>
        </w:rPr>
        <w:t>优先拜访正泰集团（温州）：正泰新能IPO进程中的综合金融需求集中释放，是本周最有实质进展的浙江新能源企业。建议先对接集团资金管理部门，推介数字财资+商票保贴方案。</w:t>
      </w:r>
    </w:p>
    <w:p>
      <w:pPr>
        <w:pStyle w:val="ListBullet"/>
      </w:pPr>
      <w:r>
        <w:rPr>
          <w:rFonts w:ascii="华文楷体" w:hAnsi="华文楷体" w:eastAsia="华文楷体"/>
          <w:color w:val="333333"/>
          <w:sz w:val="22"/>
        </w:rPr>
        <w:t>跟进锦浪科技（宁波）：绿电直连强制配储政策直接利好储能逆变器业务，海外户储和工商业储能在欧洲、澳洲持续放量。建议从跨境结算和汇率锁汇切入，建立跨境金融合作。</w:t>
      </w:r>
    </w:p>
    <w:p>
      <w:pPr>
        <w:pStyle w:val="ListBullet"/>
      </w:pPr>
      <w:r>
        <w:rPr>
          <w:rFonts w:ascii="华文楷体" w:hAnsi="华文楷体" w:eastAsia="华文楷体"/>
          <w:color w:val="333333"/>
          <w:sz w:val="22"/>
        </w:rPr>
        <w:t>扫客宁波零碳园区企业：宁波零碳园区政策推广，园区内分布式光伏+储能改造需求密集。建议批量对接园区管委会和入驻企业，推介"储能项目融资+绿电直连配套金融"综合方案。</w:t>
      </w:r>
    </w:p>
    <w:p>
      <w:pPr>
        <w:pStyle w:val="ListBullet"/>
      </w:pPr>
      <w:r>
        <w:rPr>
          <w:rFonts w:ascii="华文楷体" w:hAnsi="华文楷体" w:eastAsia="华文楷体"/>
          <w:color w:val="333333"/>
          <w:sz w:val="22"/>
        </w:rPr>
        <w:t>关注横店东磁（金华）：磁性材料+光伏组件双主业结构稳定，组件出口需要人民币国际证+福费廷降低融资成本。建议先对接财务部门，了解出口结算和上游供应商融资需求。</w:t>
      </w:r>
    </w:p>
    <w:p>
      <w:pPr>
        <w:pStyle w:val="ListBullet"/>
      </w:pPr>
      <w:r>
        <w:rPr>
          <w:rFonts w:ascii="华文楷体" w:hAnsi="华文楷体" w:eastAsia="华文楷体"/>
          <w:color w:val="333333"/>
          <w:sz w:val="22"/>
        </w:rPr>
        <w:t>内部联动：储能和绿电直连场景涉及产品较多（科技创新再贷款、设备租赁、付融通、跨境结算），建议联动分行产品经理，提前准备标准化方案材料。</w:t>
      </w:r>
    </w:p>
    <w:p/>
    <w:p>
      <w:pPr>
        <w:pStyle w:val="Heading2"/>
      </w:pPr>
      <w:r>
        <w:rPr>
          <w:rFonts w:ascii="华文楷体" w:hAnsi="华文楷体" w:eastAsia="华文楷体"/>
          <w:b/>
          <w:color w:val="2C3E50"/>
          <w:sz w:val="30"/>
        </w:rPr>
        <w:t>资料来源</w:t>
      </w:r>
    </w:p>
    <w:p>
      <w:r>
        <w:rPr>
          <w:rFonts w:ascii="华文楷体" w:hAnsi="华文楷体" w:eastAsia="华文楷体"/>
          <w:color w:val="333333"/>
          <w:sz w:val="22"/>
        </w:rPr>
        <w:t>财联社电报、新华网科技、36氪快讯、东方财富网、新浪财经、国家能源局官网、国家发改委官网、时代周报、东吴证券研报、36氪（新能源产业家）、研精毕智调研报告。</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rPr>
      <w:rFonts w:ascii="华文楷体" w:hAnsi="华文楷体"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rPr>
      <w:rFonts w:ascii="华文楷体" w:hAnsi="华文楷体"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rPr>
      <w:rFonts w:ascii="华文楷体" w:hAnsi="华文楷体" w:eastAsia="华文楷体"/>
    </w:rPr>
  </w:style>
  <w:style w:type="table" w:default="1" w:styleId="TableNormal">
    <w:name w:val="Normal Table"/>
    <w:uiPriority w:val="99"/>
    <w:semiHidden/>
    <w:unhideWhenUsed/>
    <w:rPr>
      <w:rFonts w:ascii="华文楷体" w:hAnsi="华文楷体" w:eastAsia="华文楷体"/>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rPr>
      <w:rFonts w:ascii="华文楷体" w:hAnsi="华文楷体" w:eastAsia="华文楷体"/>
    </w:rPr>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rPr>
      <w:rFonts w:ascii="华文楷体" w:hAnsi="华文楷体" w:eastAsia="华文楷体"/>
    </w:rPr>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rFonts w:ascii="华文楷体" w:hAnsi="华文楷体" w:eastAsia="华文楷体"/>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华文楷体" w:hAnsi="华文楷体" w:eastAsia="华文楷体"/>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rFonts w:ascii="华文楷体" w:hAnsi="华文楷体"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rFonts w:ascii="华文楷体" w:hAnsi="华文楷体" w:eastAsia="华文楷体"/>
      <w:b/>
      <w:bCs/>
    </w:rPr>
  </w:style>
  <w:style w:type="character" w:styleId="Emphasis">
    <w:name w:val="Emphasis"/>
    <w:basedOn w:val="DefaultParagraphFont"/>
    <w:uiPriority w:val="20"/>
    <w:qFormat/>
    <w:rsid w:val="00FC693F"/>
    <w:rPr>
      <w:rFonts w:ascii="华文楷体" w:hAnsi="华文楷体"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华文楷体" w:hAnsi="华文楷体" w:eastAsia="华文楷体"/>
      <w:b/>
      <w:bCs/>
      <w:i/>
      <w:iCs/>
      <w:color w:val="4F81BD" w:themeColor="accent1"/>
    </w:rPr>
  </w:style>
  <w:style w:type="character" w:styleId="SubtleEmphasis">
    <w:name w:val="Subtle Emphasis"/>
    <w:basedOn w:val="DefaultParagraphFont"/>
    <w:uiPriority w:val="19"/>
    <w:qFormat/>
    <w:rsid w:val="00FC693F"/>
    <w:rPr>
      <w:rFonts w:ascii="华文楷体" w:hAnsi="华文楷体" w:eastAsia="华文楷体"/>
      <w:i/>
      <w:iCs/>
      <w:color w:val="808080" w:themeColor="text1" w:themeTint="7F"/>
    </w:rPr>
  </w:style>
  <w:style w:type="character" w:styleId="IntenseEmphasis">
    <w:name w:val="Intense Emphasis"/>
    <w:basedOn w:val="DefaultParagraphFont"/>
    <w:uiPriority w:val="21"/>
    <w:qFormat/>
    <w:rsid w:val="00FC693F"/>
    <w:rPr>
      <w:rFonts w:ascii="华文楷体" w:hAnsi="华文楷体" w:eastAsia="华文楷体"/>
      <w:b/>
      <w:bCs/>
      <w:i/>
      <w:iCs/>
      <w:color w:val="4F81BD" w:themeColor="accent1"/>
    </w:rPr>
  </w:style>
  <w:style w:type="character" w:styleId="SubtleReference">
    <w:name w:val="Subtle Reference"/>
    <w:basedOn w:val="DefaultParagraphFont"/>
    <w:uiPriority w:val="31"/>
    <w:qFormat/>
    <w:rsid w:val="00FC693F"/>
    <w:rPr>
      <w:rFonts w:ascii="华文楷体" w:hAnsi="华文楷体" w:eastAsia="华文楷体"/>
      <w:smallCaps/>
      <w:color w:val="C0504D" w:themeColor="accent2"/>
      <w:u w:val="single"/>
    </w:rPr>
  </w:style>
  <w:style w:type="character" w:styleId="IntenseReference">
    <w:name w:val="Intense Reference"/>
    <w:basedOn w:val="DefaultParagraphFont"/>
    <w:uiPriority w:val="32"/>
    <w:qFormat/>
    <w:rsid w:val="00FC693F"/>
    <w:rPr>
      <w:rFonts w:ascii="华文楷体" w:hAnsi="华文楷体"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华文楷体" w:hAnsi="华文楷体"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rPr>
      <w:rFonts w:ascii="华文楷体" w:hAnsi="华文楷体" w:eastAsia="华文楷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华文楷体" w:hAnsi="华文楷体" w:eastAsia="华文楷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华文楷体" w:hAnsi="华文楷体" w:eastAsia="华文楷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华文楷体" w:hAnsi="华文楷体" w:eastAsia="华文楷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华文楷体" w:hAnsi="华文楷体" w:eastAsia="华文楷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华文楷体" w:hAnsi="华文楷体" w:eastAsia="华文楷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华文楷体" w:hAnsi="华文楷体" w:eastAsia="华文楷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华文楷体" w:hAnsi="华文楷体" w:eastAsia="华文楷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