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新能源行业商机周报</w:t>
      </w:r>
    </w:p>
    <w:p>
      <w:r>
        <w:rPr>
          <w:rFonts w:ascii="华文楷体" w:hAnsi="华文楷体" w:eastAsia="华文楷体"/>
          <w:sz w:val="24"/>
        </w:rPr>
        <w:t>Word版下载： https://qcn8k445rrbc.feishu.cn/file/OIrmbJGNSoehzmxBNwIcWeyrnoh</w:t>
      </w:r>
    </w:p>
    <w:p>
      <w:r>
        <w:rPr>
          <w:rFonts w:ascii="华文楷体" w:hAnsi="华文楷体" w:eastAsia="华文楷体"/>
          <w:sz w:val="24"/>
        </w:rPr>
        <w:t>覆盖周期：2026年5月22日 - 2026年5月28日  |  编制日期：2026年5月28日</w:t>
      </w:r>
    </w:p>
    <w:p>
      <w:r>
        <w:rPr>
          <w:rFonts w:ascii="华文楷体" w:hAnsi="华文楷体" w:eastAsia="华文楷体"/>
          <w:sz w:val="24"/>
        </w:rPr>
        <w:t>资料来源：国家发展改革委、国家能源局、国家电网与能源行业媒体公开信息，浙江省发改委及地方公开资料，上市公司公告及交易所披露，SearXNG 行业检索，iFinD 公告语义检索，本地平安银行产品资料。</w:t>
      </w:r>
    </w:p>
    <w:p>
      <w:pPr>
        <w:pStyle w:val="Heading2"/>
      </w:pPr>
      <w:r>
        <w:t>一、行业动态与发展总结</w:t>
      </w:r>
    </w:p>
    <w:p>
      <w:pPr>
        <w:pStyle w:val="Heading3"/>
      </w:pPr>
      <w:r>
        <w:t>1. 近期政策变动</w:t>
      </w:r>
    </w:p>
    <w:p>
      <w:r>
        <w:rPr>
          <w:rFonts w:ascii="华文楷体" w:hAnsi="华文楷体" w:eastAsia="华文楷体"/>
          <w:sz w:val="24"/>
        </w:rPr>
        <w:t>本周最重要的政策信号是国家发展改革委、国家能源局发布发改能源〔2026〕688号文，推动多用户绿电直连。政策在单用户绿电直连基础上，将一个或多个绿色电源向多个用户供应绿电纳入规范，绿色电源范围包括风电、太阳能发电、生物质发电，项目内部要求分表计量，并对绿电溯源、并网型项目自发自用电量认定、用户侧结算提出更清晰的执行要求。</w:t>
      </w:r>
    </w:p>
    <w:p>
      <w:r>
        <w:rPr>
          <w:rFonts w:ascii="华文楷体" w:hAnsi="华文楷体" w:eastAsia="华文楷体"/>
          <w:sz w:val="24"/>
        </w:rPr>
        <w:t>该政策与新能源全面入市、就近消纳价格机制、储能容量电价、消纳调控、单用户绿电直连共同构成新一轮市场化框架。对新能源企业而言，单纯“装机扩张”正在让位于“可消纳、可计量、可溯源、可交易”的项目能力；对用能企业而言，绿电直连开始从单一大用户场景扩展到园区、多企业、多负荷协同场景。</w:t>
      </w:r>
    </w:p>
    <w:p>
      <w:r>
        <w:rPr>
          <w:rFonts w:ascii="华文楷体" w:hAnsi="华文楷体" w:eastAsia="华文楷体"/>
          <w:sz w:val="24"/>
        </w:rPr>
        <w:t>光伏侧，两项光伏组件强制性国家标准发布，叠加出口退税取消后的订单节奏调整，组件企业从价格竞争转向质量、安全、可靠性和海外交付能力竞争。储能侧，电芯排产保持高位，AI 数据中心、电网调峰、工商业用户侧储能共同拉动需求，钠电池、构网型储能和长时储能仍处于技术验证与商业化爬坡阶段。氢能侧，绿氢项目、电解槽、燃料电池应用继续推进，但项目经济性仍高度依赖绿电成本、场景稳定性和地方政策支持。</w:t>
      </w:r>
    </w:p>
    <w:p>
      <w:r>
        <w:rPr>
          <w:rFonts w:ascii="华文楷体" w:hAnsi="华文楷体" w:eastAsia="华文楷体"/>
          <w:sz w:val="24"/>
        </w:rPr>
        <w:t>综合影响闭环：政策信号指向新能源“发电侧扩张 + 消纳侧市场化 + 用户侧绿电资产化”。经营含义是项目公司、设备企业和用能企业都需要围绕计量、交易、储能、结算和溯源重构业务流程；金融需求会集中在项目建设资金、设备采购、供应链账期、票据支付、跨境收付和财资管理。平安银行可从绿电直连项目账户体系、分布式光伏和储能设备采购、核心企业供应链金融、跨境结算及平安避险切入，先做场景，再做授信。</w:t>
      </w:r>
    </w:p>
    <w:p>
      <w:pPr>
        <w:pStyle w:val="Heading3"/>
      </w:pPr>
      <w:r>
        <w:t>2. 政府规划与产业方向</w:t>
      </w:r>
    </w:p>
    <w:p>
      <w:r>
        <w:rPr>
          <w:rFonts w:ascii="华文楷体" w:hAnsi="华文楷体" w:eastAsia="华文楷体"/>
          <w:sz w:val="24"/>
        </w:rPr>
        <w:t>全国层面，新能源政策方向已经从“扩大装机”进入“提高消纳质量和绿色价值变现”阶段。多用户绿电直连、工业绿色微电网、零碳园区、可再生能源消纳责任权重、绿证核发交易等政策工具，正在把新能源发电、电力交易、终端用能和出口绿色认证连成一条业务链。</w:t>
      </w:r>
    </w:p>
    <w:p>
      <w:r>
        <w:rPr>
          <w:rFonts w:ascii="华文楷体" w:hAnsi="华文楷体" w:eastAsia="华文楷体"/>
          <w:sz w:val="24"/>
        </w:rPr>
        <w:t>“十五五”前期规划方向中，新能源与新型电力系统、智能电网、储能、绿氢、充换电基础设施、绿色制造和未来产业结合更紧。海上风电向集群化开发演进，陆上风光大基地与储能、特高压、源网荷储协同更紧密；工商业分布式光伏、园区绿电直连、数据中心配储和虚拟电厂将成为银行更容易落地的场景。</w:t>
      </w:r>
    </w:p>
    <w:p>
      <w:r>
        <w:rPr>
          <w:rFonts w:ascii="华文楷体" w:hAnsi="华文楷体" w:eastAsia="华文楷体"/>
          <w:sz w:val="24"/>
        </w:rPr>
        <w:t>对银行而言，政府规划带来的机会不只是项目贷款。更现实的入口是设备更新、技改、合同能源管理、园区能源服务、核心企业上下游结算、票据池、保证金、保函和跨境贸易金融。</w:t>
      </w:r>
    </w:p>
    <w:p>
      <w:pPr>
        <w:pStyle w:val="Heading3"/>
      </w:pPr>
      <w:r>
        <w:t>3. 行业发展趋势</w:t>
      </w:r>
    </w:p>
    <w:p>
      <w:r>
        <w:rPr>
          <w:rFonts w:ascii="华文楷体" w:hAnsi="华文楷体" w:eastAsia="华文楷体"/>
          <w:sz w:val="24"/>
        </w:rPr>
        <w:t>光伏行业仍处于分化和出清阶段。硅料、硅片、电池片、组件环节受供给过剩、出口节奏前移和价格压力影响，盈利修复仍需时间；逆变器、光伏电站运营、具备海外渠道和高可靠组件能力的企业相对更有韧性。客户经理应避免单看产能规模，重点核查订单质量、回款周期、海外账期和库存跌价风险。</w:t>
      </w:r>
    </w:p>
    <w:p>
      <w:r>
        <w:rPr>
          <w:rFonts w:ascii="华文楷体" w:hAnsi="华文楷体" w:eastAsia="华文楷体"/>
          <w:sz w:val="24"/>
        </w:rPr>
        <w:t>风电行业在海上风电、深远海、风储协同和海外市场上仍有结构性机会。整机企业订单竞争激烈，但拥有技术、运维能力和国央企项目服务经验的浙江企业，仍有供应链批量获客价值。</w:t>
      </w:r>
    </w:p>
    <w:p>
      <w:r>
        <w:rPr>
          <w:rFonts w:ascii="华文楷体" w:hAnsi="华文楷体" w:eastAsia="华文楷体"/>
          <w:sz w:val="24"/>
        </w:rPr>
        <w:t>储能和动力电池产业链景气度高于传统光伏制造。锂电排产高位、储能电芯占比提升，带动正极、负极、隔膜、电解液、铜箔等材料需求。与此同时，储能项目回款周期、海外交付周期和客户集中度风险需要提前识别。钠电池在低速车、启停电池、工商业储能和极寒场景具备替代逻辑，但大规模商业化仍需跟踪成本与循环寿命表现。</w:t>
      </w:r>
    </w:p>
    <w:p>
      <w:r>
        <w:rPr>
          <w:rFonts w:ascii="华文楷体" w:hAnsi="华文楷体" w:eastAsia="华文楷体"/>
          <w:sz w:val="24"/>
        </w:rPr>
        <w:t>氢能仍处于示范应用和成本下降阶段。电解槽设备成本下降、绿电成本下行有利于绿氢项目，但短期更适合选择有明确订单、地方示范项目、交通或工业用氢场景的企业审慎跟进。</w:t>
      </w:r>
    </w:p>
    <w:p>
      <w:pPr>
        <w:pStyle w:val="Heading3"/>
      </w:pPr>
      <w:r>
        <w:t>4. 上下游产业链动态</w:t>
      </w:r>
    </w:p>
    <w:p>
      <w:r>
        <w:rPr>
          <w:rFonts w:ascii="华文楷体" w:hAnsi="华文楷体" w:eastAsia="华文楷体"/>
          <w:sz w:val="24"/>
        </w:rPr>
        <w:t>上游材料端，锂电材料需求随储能和动力电池排产改善而回升，正极材料、负极材料、电解液企业的采购垫资和库存管理压力加大。光伏上游仍受产能过剩约束，银行授信应更关注现金流质量、应收账款和存货跌价。</w:t>
      </w:r>
    </w:p>
    <w:p>
      <w:r>
        <w:rPr>
          <w:rFonts w:ascii="华文楷体" w:hAnsi="华文楷体" w:eastAsia="华文楷体"/>
          <w:sz w:val="24"/>
        </w:rPr>
        <w:t>中游制造端，光伏组件、风电整机、储能系统集成企业订单仍集中在央国企、海外电站、园区能源服务和大型工商业客户。设备企业常见资金需求包括原材料采购、生产备货、履约保函、银票开立、应收账款周转和海外结算。</w:t>
      </w:r>
    </w:p>
    <w:p>
      <w:r>
        <w:rPr>
          <w:rFonts w:ascii="华文楷体" w:hAnsi="华文楷体" w:eastAsia="华文楷体"/>
          <w:sz w:val="24"/>
        </w:rPr>
        <w:t>下游应用端，绿电直连、工商业储能、数据中心供电、园区微电网和充换电基础设施形成新的需求组合。适合银行切入的环节包括核心企业付款账期、供应商订单融资、国内信用证、商票保贴、付融通、资产池、数字财资、跨境支付结算和人民币国际证+福费廷。</w:t>
      </w:r>
    </w:p>
    <w:p>
      <w:pPr>
        <w:pStyle w:val="Heading2"/>
      </w:pPr>
      <w:r>
        <w:t>二、浙江地区动态与区域机会</w:t>
      </w:r>
    </w:p>
    <w:p>
      <w:pPr>
        <w:pStyle w:val="Heading3"/>
      </w:pPr>
      <w:r>
        <w:t>1. 浙江政策与政府规划</w:t>
      </w:r>
    </w:p>
    <w:p>
      <w:r>
        <w:rPr>
          <w:rFonts w:ascii="华文楷体" w:hAnsi="华文楷体" w:eastAsia="华文楷体"/>
          <w:sz w:val="24"/>
        </w:rPr>
        <w:t>浙江新能源项目已全面进入市场化电价机制。浙江省2026年新能源增量项目机制电价第一次竞价出清电价为0.3816元/千瓦时，温州交运集团所属能源公司申报的6个独立竞价光伏项目全部中标。该机制使浙江本地分布式光伏、工商业储能和综合能源服务企业更需要精细测算项目收益率、结算现金流和电力交易风险。</w:t>
      </w:r>
    </w:p>
    <w:p>
      <w:r>
        <w:rPr>
          <w:rFonts w:ascii="华文楷体" w:hAnsi="华文楷体" w:eastAsia="华文楷体"/>
          <w:sz w:val="24"/>
        </w:rPr>
        <w:t>浙江一季度储能备案保持高热度，用户侧项目数量较多，独立储能容量贡献更大。宁波、杭州、台州、绍兴等地用户侧储能项目集中备案，说明制造业园区、交通基础设施、商业综合体和高耗能企业正在把储能从“政策配套”转为“降本和保供工具”。</w:t>
      </w:r>
    </w:p>
    <w:p>
      <w:r>
        <w:rPr>
          <w:rFonts w:ascii="华文楷体" w:hAnsi="华文楷体" w:eastAsia="华文楷体"/>
          <w:sz w:val="24"/>
        </w:rPr>
        <w:t>金华婺城润煦新能源独立储能电站进入设备安装和调试阶段，项目建成后可提升风电、光伏消纳能力并缓解区域电网供需压力。此类项目对项目资本金、设备采购、工程款支付、并网前调试和投运后电费结算都有明确金融需求。</w:t>
      </w:r>
    </w:p>
    <w:p>
      <w:pPr>
        <w:pStyle w:val="Heading3"/>
      </w:pPr>
      <w:r>
        <w:t>2. 浙江重点产业与区域机会</w:t>
      </w:r>
    </w:p>
    <w:p>
      <w:r>
        <w:rPr>
          <w:rFonts w:ascii="华文楷体" w:hAnsi="华文楷体" w:eastAsia="华文楷体"/>
          <w:sz w:val="24"/>
        </w:rPr>
        <w:t>浙江新能源产业机会集中在四类区域：杭州的风电整机、储能系统、电力电子和综合能源服务；宁波的锂电正极材料、海缆、逆变器和新能源汽车供应链；湖州长兴的动力电池、储能电池和回收循环；温州、嘉兴、金华、台州的分布式光伏、工商业储能、电力设备和充换电基础设施。</w:t>
      </w:r>
    </w:p>
    <w:p>
      <w:r>
        <w:rPr>
          <w:rFonts w:ascii="华文楷体" w:hAnsi="华文楷体" w:eastAsia="华文楷体"/>
          <w:sz w:val="24"/>
        </w:rPr>
        <w:t>浙江“415X”先进制造业集群中的新能源、新材料、高端装备、智能电气等方向与本周政策主线高度匹配。客户经理扫客时，优先看两类企业：一类是能拿到央国企、地方平台或海外订单的链主/准链主企业；另一类是为链主企业供货、应收账款清晰、订单持续但资金占用加大的专精特新企业。</w:t>
      </w:r>
    </w:p>
    <w:p>
      <w:pPr>
        <w:pStyle w:val="Heading3"/>
      </w:pPr>
      <w:r>
        <w:t>3. 浙江上下游产业链动态</w:t>
      </w:r>
    </w:p>
    <w:p>
      <w:r>
        <w:rPr>
          <w:rFonts w:ascii="华文楷体" w:hAnsi="华文楷体" w:eastAsia="华文楷体"/>
          <w:sz w:val="24"/>
        </w:rPr>
        <w:t>上游材料方面，宁波容百科技代表的正极材料企业受益于储能、快充电池、钠电和固态电池材料需求，但项目投资、海外产能和客户认证会拉长现金转换周期。湖州天能代表的电池企业具备动力电池、储能、循环回收和钠电布局，适合从订单、设备更新、回收闭环和代发场景切入。</w:t>
      </w:r>
    </w:p>
    <w:p>
      <w:r>
        <w:rPr>
          <w:rFonts w:ascii="华文楷体" w:hAnsi="华文楷体" w:eastAsia="华文楷体"/>
          <w:sz w:val="24"/>
        </w:rPr>
        <w:t>中游制造方面，正泰新能、运达能源科技等浙江企业近期均有央国企项目、海外或海上风电项目线索。其供应链长、项目制明显，适合围绕银票、保函、订单融资、付融通、商票保贴和资产池做核心企业及供应商联动。</w:t>
      </w:r>
    </w:p>
    <w:p>
      <w:r>
        <w:rPr>
          <w:rFonts w:ascii="华文楷体" w:hAnsi="华文楷体" w:eastAsia="华文楷体"/>
          <w:sz w:val="24"/>
        </w:rPr>
        <w:t>下游应用方面，温州交运能源、金华独立储能、浙江交通集团用户侧储能备案等信号说明，浙江本地交通、园区和工商业用户正在成为分布式能源项目的重要业主。银行可围绕项目公司账户、施工总包、设备供应商、运维商和用能企业做批量拓展。</w:t>
      </w:r>
    </w:p>
    <w:p>
      <w:pPr>
        <w:pStyle w:val="Heading3"/>
      </w:pPr>
      <w:r>
        <w:t>4. 银行展业机会</w:t>
      </w:r>
    </w:p>
    <w:p>
      <w:pPr>
        <w:pStyle w:val="ListNumber"/>
      </w:pPr>
      <w:r>
        <w:rPr>
          <w:rFonts w:ascii="华文楷体" w:hAnsi="华文楷体" w:eastAsia="华文楷体"/>
          <w:sz w:val="24"/>
        </w:rPr>
        <w:t>绿电直连和机制电价项目：优先切入项目账户、结算监管、设备采购、银票、国内信用证、资产池和数字财资，帮助企业把电费收入、设备付款和现金流预测统一管理。</w:t>
      </w:r>
    </w:p>
    <w:p>
      <w:pPr>
        <w:pStyle w:val="ListNumber"/>
      </w:pPr>
      <w:r>
        <w:rPr>
          <w:rFonts w:ascii="华文楷体" w:hAnsi="华文楷体" w:eastAsia="华文楷体"/>
          <w:sz w:val="24"/>
        </w:rPr>
        <w:t>工商业储能和独立储能：对项目公司和设备供应商分别设计方案，项目侧看科技创新和技术更新改造再贷款、平安租赁、项目融资和保函；设备侧看订单融资、付融通、银票贴现和资产池。</w:t>
      </w:r>
    </w:p>
    <w:p>
      <w:pPr>
        <w:pStyle w:val="ListNumber"/>
      </w:pPr>
      <w:r>
        <w:rPr>
          <w:rFonts w:ascii="华文楷体" w:hAnsi="华文楷体" w:eastAsia="华文楷体"/>
          <w:sz w:val="24"/>
        </w:rPr>
        <w:t>浙江链主企业供应链：围绕正泰新能、运达能源科技、容百科技、天能股份等核心企业，识别设备、材料、工程、运维供应商，用商票保贴、商票e贴、付融通、订单融资做批量获客。</w:t>
      </w:r>
    </w:p>
    <w:p>
      <w:pPr>
        <w:pStyle w:val="ListNumber"/>
      </w:pPr>
      <w:r>
        <w:rPr>
          <w:rFonts w:ascii="华文楷体" w:hAnsi="华文楷体" w:eastAsia="华文楷体"/>
          <w:sz w:val="24"/>
        </w:rPr>
        <w:t>出海和海外项目交付：光伏组件、锂电材料和风电装备企业海外订单增多，可用跨境支付结算、人民币国际证+福费廷、外币存款、跨境资金管理和平安避险切入。</w:t>
      </w:r>
    </w:p>
    <w:p>
      <w:pPr>
        <w:pStyle w:val="ListNumber"/>
      </w:pPr>
      <w:r>
        <w:rPr>
          <w:rFonts w:ascii="华文楷体" w:hAnsi="华文楷体" w:eastAsia="华文楷体"/>
          <w:sz w:val="24"/>
        </w:rPr>
        <w:t>制造业财资数字化：新能源企业多基地、多项目、多票据、多账户特征明显，数字财资、资产池、慧收款、移企付、口袋管家和平安薪可作为低风险高频入口。</w:t>
      </w:r>
    </w:p>
    <w:p>
      <w:pPr>
        <w:pStyle w:val="Heading2"/>
      </w:pPr>
      <w:r>
        <w:t>三、重点企业推荐</w:t>
      </w:r>
    </w:p>
    <w:p>
      <w:pPr>
        <w:pStyle w:val="Heading3"/>
      </w:pPr>
      <w:r>
        <w:t>企业名称：正泰新能科技股份有限公司</w:t>
      </w:r>
    </w:p>
    <w:p>
      <w:pPr>
        <w:pStyle w:val="ListBullet"/>
      </w:pPr>
      <w:r>
        <w:rPr>
          <w:rFonts w:ascii="华文楷体" w:hAnsi="华文楷体" w:eastAsia="华文楷体"/>
          <w:sz w:val="24"/>
        </w:rPr>
        <w:t>推荐等级： 高</w:t>
      </w:r>
    </w:p>
    <w:p>
      <w:pPr>
        <w:pStyle w:val="ListBullet"/>
      </w:pPr>
      <w:r>
        <w:rPr>
          <w:rFonts w:ascii="华文楷体" w:hAnsi="华文楷体" w:eastAsia="华文楷体"/>
          <w:sz w:val="24"/>
        </w:rPr>
        <w:t>所属行业： 光伏组件、光伏电站设备</w:t>
      </w:r>
    </w:p>
    <w:p>
      <w:pPr>
        <w:pStyle w:val="ListBullet"/>
      </w:pPr>
      <w:r>
        <w:rPr>
          <w:rFonts w:ascii="华文楷体" w:hAnsi="华文楷体" w:eastAsia="华文楷体"/>
          <w:sz w:val="24"/>
        </w:rPr>
        <w:t>所在地区： 浙江杭州/温州体系，生产基地覆盖浙江海宁等地</w:t>
      </w:r>
    </w:p>
    <w:p>
      <w:pPr>
        <w:pStyle w:val="ListBullet"/>
      </w:pPr>
      <w:r>
        <w:rPr>
          <w:rFonts w:ascii="华文楷体" w:hAnsi="华文楷体" w:eastAsia="华文楷体"/>
          <w:sz w:val="24"/>
        </w:rPr>
        <w:t>产业链位置： 中游</w:t>
      </w:r>
    </w:p>
    <w:p>
      <w:pPr>
        <w:pStyle w:val="ListBullet"/>
      </w:pPr>
      <w:r>
        <w:rPr>
          <w:rFonts w:ascii="华文楷体" w:hAnsi="华文楷体" w:eastAsia="华文楷体"/>
          <w:sz w:val="24"/>
        </w:rPr>
        <w:t>推荐方向： 供应链金融、票据、跨境结算、现金管理、资本市场综合金融</w:t>
      </w:r>
    </w:p>
    <w:p>
      <w:r>
        <w:rPr>
          <w:rFonts w:ascii="华文楷体" w:hAnsi="华文楷体" w:eastAsia="华文楷体"/>
          <w:sz w:val="24"/>
        </w:rPr>
        <w:t>企业关键信息:</w:t>
      </w:r>
    </w:p>
    <w:p>
      <w:pPr>
        <w:pStyle w:val="ListBullet"/>
      </w:pPr>
      <w:r>
        <w:rPr>
          <w:rFonts w:ascii="华文楷体" w:hAnsi="华文楷体" w:eastAsia="华文楷体"/>
          <w:sz w:val="24"/>
        </w:rPr>
        <w:t>基本情况: 正泰集团旗下光伏组件平台，主营高效光伏组件研发、制造和销售，ASTRO 系列组件面向大型地面电站、分布式和海外项目。近期入围中国华能2026年光伏组件框架协议采购全部三个标段，并在中国电建2026年度光伏组件集采中入围。</w:t>
      </w:r>
    </w:p>
    <w:p>
      <w:pPr>
        <w:pStyle w:val="ListBullet"/>
      </w:pPr>
      <w:r>
        <w:rPr>
          <w:rFonts w:ascii="华文楷体" w:hAnsi="华文楷体" w:eastAsia="华文楷体"/>
          <w:sz w:val="24"/>
        </w:rPr>
        <w:t>高层与团队背景: 正泰新能源董事长、正泰新能董事长兼总裁陆川公开信息显示长期在正泰体系内负责新能源业务，具备光伏制造、户用及工商业项目、海外市场合作经验；更完整教育背景、导师信息未披露。正泰集团创始人南存辉具有温州低压电器产业资源和全国性产业组织资源。</w:t>
      </w:r>
    </w:p>
    <w:p>
      <w:pPr>
        <w:pStyle w:val="ListBullet"/>
      </w:pPr>
      <w:r>
        <w:rPr>
          <w:rFonts w:ascii="华文楷体" w:hAnsi="华文楷体" w:eastAsia="华文楷体"/>
          <w:sz w:val="24"/>
        </w:rPr>
        <w:t>银行关注点: 管理层具备产业链组织和央国企客户服务经验，订单获取能力较强；光伏行业价格下行背景下，应重点核查毛利率、海外账期、存货跌价和供应商付款安排。</w:t>
      </w:r>
    </w:p>
    <w:p>
      <w:r>
        <w:rPr>
          <w:rFonts w:ascii="华文楷体" w:hAnsi="华文楷体" w:eastAsia="华文楷体"/>
          <w:sz w:val="24"/>
        </w:rPr>
        <w:t>推荐理由:</w:t>
      </w:r>
    </w:p>
    <w:p>
      <w:pPr>
        <w:pStyle w:val="ListBullet"/>
      </w:pPr>
      <w:r>
        <w:rPr>
          <w:rFonts w:ascii="华文楷体" w:hAnsi="华文楷体" w:eastAsia="华文楷体"/>
          <w:sz w:val="24"/>
        </w:rPr>
        <w:t>多用户绿电直连和工业绿色微电网政策将提高高可靠组件、分布式光伏和工商业能源项目需求，正泰新能处于直接受益环节。</w:t>
      </w:r>
    </w:p>
    <w:p>
      <w:pPr>
        <w:pStyle w:val="ListBullet"/>
      </w:pPr>
      <w:r>
        <w:rPr>
          <w:rFonts w:ascii="华文楷体" w:hAnsi="华文楷体" w:eastAsia="华文楷体"/>
          <w:sz w:val="24"/>
        </w:rPr>
        <w:t>华能、中国电建等央国企集采入围说明订单和品牌认可度较强，供应链付款、备货和履约保证金需求明确。</w:t>
      </w:r>
    </w:p>
    <w:p>
      <w:pPr>
        <w:pStyle w:val="ListBullet"/>
      </w:pPr>
      <w:r>
        <w:rPr>
          <w:rFonts w:ascii="华文楷体" w:hAnsi="华文楷体" w:eastAsia="华文楷体"/>
          <w:sz w:val="24"/>
        </w:rPr>
        <w:t>正泰集团在低压电器、户用光伏、工商业综合能源和海外渠道上有协同优势，适合从单一授信延伸到链主供应链金融。</w:t>
      </w:r>
    </w:p>
    <w:p>
      <w:r>
        <w:rPr>
          <w:rFonts w:ascii="华文楷体" w:hAnsi="华文楷体" w:eastAsia="华文楷体"/>
          <w:sz w:val="24"/>
        </w:rPr>
        <w:t>银行展业机会:</w:t>
      </w:r>
    </w:p>
    <w:p>
      <w:pPr>
        <w:pStyle w:val="ListBullet"/>
      </w:pPr>
      <w:r>
        <w:rPr>
          <w:rFonts w:ascii="华文楷体" w:hAnsi="华文楷体" w:eastAsia="华文楷体"/>
          <w:sz w:val="24"/>
        </w:rPr>
        <w:t>经营场景是央国企集采、海外项目和组件备货，带来原材料采购、银票支付、履约保证金和跨境收款需求。可用银票无感贴现、商票保贴、付融通和订单融资服务供应商，用跨境支付结算、人民币国际证+福费廷和平安避险服务海外订单，用数字财资和资产池管理多基地票据与账户。</w:t>
      </w:r>
    </w:p>
    <w:p>
      <w:r>
        <w:rPr>
          <w:rFonts w:ascii="华文楷体" w:hAnsi="华文楷体" w:eastAsia="华文楷体"/>
          <w:sz w:val="24"/>
        </w:rPr>
        <w:t>推荐产品组合:</w:t>
      </w:r>
    </w:p>
    <w:p>
      <w:r>
        <w:rPr>
          <w:rFonts w:ascii="华文楷体" w:hAnsi="华文楷体" w:eastAsia="华文楷体"/>
          <w:sz w:val="24"/>
        </w:rPr>
        <w:t>建议以商票保贴、付融通和银票无感贴现作为主推产品，解决组件供应链账期和供应商收款问题；配套数字财资、资产池、跨境支付结算、人民币国际证+福费廷和平安避险，用于多账户资金管理、票据统筹和海外订单交付。额度、期限、费率和准入条件待沟通。</w:t>
      </w:r>
    </w:p>
    <w:p>
      <w:r>
        <w:rPr>
          <w:rFonts w:ascii="华文楷体" w:hAnsi="华文楷体" w:eastAsia="华文楷体"/>
          <w:sz w:val="24"/>
        </w:rPr>
        <w:t>客户经理切入话术:</w:t>
      </w:r>
    </w:p>
    <w:p>
      <w:r>
        <w:rPr>
          <w:rFonts w:ascii="华文楷体" w:hAnsi="华文楷体" w:eastAsia="华文楷体"/>
          <w:sz w:val="24"/>
        </w:rPr>
        <w:t>“近期绿电直连和央企集采都在推动组件订单结构变化，我们想先围绕贵司央国企订单、供应商账期和海外回款做一版供应链+跨境方案，看看哪些环节能帮您降资金占用、稳供应商。”</w:t>
      </w:r>
    </w:p>
    <w:p>
      <w:r>
        <w:rPr>
          <w:rFonts w:ascii="华文楷体" w:hAnsi="华文楷体" w:eastAsia="华文楷体"/>
          <w:sz w:val="24"/>
        </w:rPr>
        <w:t>风险提示:</w:t>
      </w:r>
    </w:p>
    <w:p>
      <w:r>
        <w:rPr>
          <w:rFonts w:ascii="华文楷体" w:hAnsi="华文楷体" w:eastAsia="华文楷体"/>
          <w:sz w:val="24"/>
        </w:rPr>
        <w:t>光伏组件行业价格竞争仍强，需核查订单毛利、存货跌价、海外回款、客户集中度和供应商账期；暂无明显公开失信风险，仍需结合征信、流水、财报、合同、客户结构和实地尽调确认。</w:t>
      </w:r>
    </w:p>
    <w:p>
      <w:pPr>
        <w:pStyle w:val="Heading3"/>
      </w:pPr>
      <w:r>
        <w:t>企业名称：运达能源科技集团股份有限公司</w:t>
      </w:r>
    </w:p>
    <w:p>
      <w:pPr>
        <w:pStyle w:val="ListBullet"/>
      </w:pPr>
      <w:r>
        <w:rPr>
          <w:rFonts w:ascii="华文楷体" w:hAnsi="华文楷体" w:eastAsia="华文楷体"/>
          <w:sz w:val="24"/>
        </w:rPr>
        <w:t>推荐等级： 高</w:t>
      </w:r>
    </w:p>
    <w:p>
      <w:pPr>
        <w:pStyle w:val="ListBullet"/>
      </w:pPr>
      <w:r>
        <w:rPr>
          <w:rFonts w:ascii="华文楷体" w:hAnsi="华文楷体" w:eastAsia="华文楷体"/>
          <w:sz w:val="24"/>
        </w:rPr>
        <w:t>所属行业： 风电整机、海上风电、储能协同</w:t>
      </w:r>
    </w:p>
    <w:p>
      <w:pPr>
        <w:pStyle w:val="ListBullet"/>
      </w:pPr>
      <w:r>
        <w:rPr>
          <w:rFonts w:ascii="华文楷体" w:hAnsi="华文楷体" w:eastAsia="华文楷体"/>
          <w:sz w:val="24"/>
        </w:rPr>
        <w:t>所在地区： 杭州</w:t>
      </w:r>
    </w:p>
    <w:p>
      <w:pPr>
        <w:pStyle w:val="ListBullet"/>
      </w:pPr>
      <w:r>
        <w:rPr>
          <w:rFonts w:ascii="华文楷体" w:hAnsi="华文楷体" w:eastAsia="华文楷体"/>
          <w:sz w:val="24"/>
        </w:rPr>
        <w:t>产业链位置： 中游/链主型设备商</w:t>
      </w:r>
    </w:p>
    <w:p>
      <w:pPr>
        <w:pStyle w:val="ListBullet"/>
      </w:pPr>
      <w:r>
        <w:rPr>
          <w:rFonts w:ascii="华文楷体" w:hAnsi="华文楷体" w:eastAsia="华文楷体"/>
          <w:sz w:val="24"/>
        </w:rPr>
        <w:t>推荐方向： 保函、供应链金融、票据、现金管理、项目综合金融</w:t>
      </w:r>
    </w:p>
    <w:p>
      <w:r>
        <w:rPr>
          <w:rFonts w:ascii="华文楷体" w:hAnsi="华文楷体" w:eastAsia="华文楷体"/>
          <w:sz w:val="24"/>
        </w:rPr>
        <w:t>企业关键信息:</w:t>
      </w:r>
    </w:p>
    <w:p>
      <w:pPr>
        <w:pStyle w:val="ListBullet"/>
      </w:pPr>
      <w:r>
        <w:rPr>
          <w:rFonts w:ascii="华文楷体" w:hAnsi="华文楷体" w:eastAsia="华文楷体"/>
          <w:sz w:val="24"/>
        </w:rPr>
        <w:t>基本情况: 浙江省属背景的风电整机和新能源装备企业，长期从事风电技术研发、整机制造、风场服务和新能源项目解决方案。近期作为整机及运维服务商参与的舟山海上风电象山二期项目获中国电力优质工程奖；4月国内风机采购开标中，运达股份位居头部中标阵营。</w:t>
      </w:r>
    </w:p>
    <w:p>
      <w:pPr>
        <w:pStyle w:val="ListBullet"/>
      </w:pPr>
      <w:r>
        <w:rPr>
          <w:rFonts w:ascii="华文楷体" w:hAnsi="华文楷体" w:eastAsia="华文楷体"/>
          <w:sz w:val="24"/>
        </w:rPr>
        <w:t>高层与团队背景: 公开高管资料显示，董事长高玲曾任浙江省机电集团相关岗位并长期在运达体系工作，历任财务负责人、副总经理、总经理、董事长等职务，具备省属装备制造和财务管理经验；教育背景、导师信息未披露。</w:t>
      </w:r>
    </w:p>
    <w:p>
      <w:pPr>
        <w:pStyle w:val="ListBullet"/>
      </w:pPr>
      <w:r>
        <w:rPr>
          <w:rFonts w:ascii="华文楷体" w:hAnsi="华文楷体" w:eastAsia="华文楷体"/>
          <w:sz w:val="24"/>
        </w:rPr>
        <w:t>银行关注点: 国资背景、风电技术积累和央国企项目经验有助于判断订单稳定性；项目制交付会带来保函、票据、供应商付款和回款周期管理需求。</w:t>
      </w:r>
    </w:p>
    <w:p>
      <w:r>
        <w:rPr>
          <w:rFonts w:ascii="华文楷体" w:hAnsi="华文楷体" w:eastAsia="华文楷体"/>
          <w:sz w:val="24"/>
        </w:rPr>
        <w:t>推荐理由:</w:t>
      </w:r>
    </w:p>
    <w:p>
      <w:pPr>
        <w:pStyle w:val="ListBullet"/>
      </w:pPr>
      <w:r>
        <w:rPr>
          <w:rFonts w:ascii="华文楷体" w:hAnsi="华文楷体" w:eastAsia="华文楷体"/>
          <w:sz w:val="24"/>
        </w:rPr>
        <w:t>海上风电进入集群化开发阶段，风储协同、运维和电能质量管理成为差异化能力，运达在浙江海上风电项目中具备示范案例。</w:t>
      </w:r>
    </w:p>
    <w:p>
      <w:pPr>
        <w:pStyle w:val="ListBullet"/>
      </w:pPr>
      <w:r>
        <w:rPr>
          <w:rFonts w:ascii="华文楷体" w:hAnsi="华文楷体" w:eastAsia="华文楷体"/>
          <w:sz w:val="24"/>
        </w:rPr>
        <w:t>风机采购订单仍集中在央国企开发商，运达作为头部整机商可带动塔筒、叶片、电控、铸件、运维等供应商批量获客。</w:t>
      </w:r>
    </w:p>
    <w:p>
      <w:pPr>
        <w:pStyle w:val="ListBullet"/>
      </w:pPr>
      <w:r>
        <w:rPr>
          <w:rFonts w:ascii="华文楷体" w:hAnsi="华文楷体" w:eastAsia="华文楷体"/>
          <w:sz w:val="24"/>
        </w:rPr>
        <w:t>公司项目交付周期长，天然产生履约保函、预付款保函、票据、供应链融资和数字财资需求。</w:t>
      </w:r>
    </w:p>
    <w:p>
      <w:r>
        <w:rPr>
          <w:rFonts w:ascii="华文楷体" w:hAnsi="华文楷体" w:eastAsia="华文楷体"/>
          <w:sz w:val="24"/>
        </w:rPr>
        <w:t>银行展业机会:</w:t>
      </w:r>
    </w:p>
    <w:p>
      <w:pPr>
        <w:pStyle w:val="ListBullet"/>
      </w:pPr>
      <w:r>
        <w:rPr>
          <w:rFonts w:ascii="华文楷体" w:hAnsi="华文楷体" w:eastAsia="华文楷体"/>
          <w:sz w:val="24"/>
        </w:rPr>
        <w:t>经营场景是风机整机项目中标、设备生产、现场吊装和运维服务。金融需求包括保函开立、供应商货款支付、票据管理、应收账款周转和项目现金流监控。平安银行可用境内保函、分离式保函、银票极速贴现、付融通、商票保贴、资产池和数字财资切入，并联动供应商名单做批量营销。</w:t>
      </w:r>
    </w:p>
    <w:p>
      <w:r>
        <w:rPr>
          <w:rFonts w:ascii="华文楷体" w:hAnsi="华文楷体" w:eastAsia="华文楷体"/>
          <w:sz w:val="24"/>
        </w:rPr>
        <w:t>推荐产品组合:</w:t>
      </w:r>
    </w:p>
    <w:p>
      <w:r>
        <w:rPr>
          <w:rFonts w:ascii="华文楷体" w:hAnsi="华文楷体" w:eastAsia="华文楷体"/>
          <w:sz w:val="24"/>
        </w:rPr>
        <w:t>建议以境内保函/分离式保函和资产池作为主推产品，解决项目履约与票据资产管理；配套付融通、商票保贴、银票极速贴现和数字财资，用于供应商收款、票据流转和项目现金流监控。额度、期限、费率和准入条件待沟通。</w:t>
      </w:r>
    </w:p>
    <w:p>
      <w:r>
        <w:rPr>
          <w:rFonts w:ascii="华文楷体" w:hAnsi="华文楷体" w:eastAsia="华文楷体"/>
          <w:sz w:val="24"/>
        </w:rPr>
        <w:t>客户经理切入话术:</w:t>
      </w:r>
    </w:p>
    <w:p>
      <w:r>
        <w:rPr>
          <w:rFonts w:ascii="华文楷体" w:hAnsi="华文楷体" w:eastAsia="华文楷体"/>
          <w:sz w:val="24"/>
        </w:rPr>
        <w:t>“海上风电项目交付链条长，保函、票据和供应商付款压力会集中出现。我们可以先帮贵司把新中标项目的保函和供应链支付场景梳理出来，再匹配供应商融资方案。”</w:t>
      </w:r>
    </w:p>
    <w:p>
      <w:r>
        <w:rPr>
          <w:rFonts w:ascii="华文楷体" w:hAnsi="华文楷体" w:eastAsia="华文楷体"/>
          <w:sz w:val="24"/>
        </w:rPr>
        <w:t>风险提示:</w:t>
      </w:r>
    </w:p>
    <w:p>
      <w:r>
        <w:rPr>
          <w:rFonts w:ascii="华文楷体" w:hAnsi="华文楷体" w:eastAsia="华文楷体"/>
          <w:sz w:val="24"/>
        </w:rPr>
        <w:t>风电整机竞争激烈，需关注中标价格、原材料价格波动、质保责任、项目回款周期和应收账款；暂无明显公开风险，仍需结合征信、流水、财报、合同、客户结构和实地尽调确认。</w:t>
      </w:r>
    </w:p>
    <w:p>
      <w:pPr>
        <w:pStyle w:val="Heading3"/>
      </w:pPr>
      <w:r>
        <w:t>企业名称：宁波容百新能源科技股份有限公司</w:t>
      </w:r>
    </w:p>
    <w:p>
      <w:pPr>
        <w:pStyle w:val="ListBullet"/>
      </w:pPr>
      <w:r>
        <w:rPr>
          <w:rFonts w:ascii="华文楷体" w:hAnsi="华文楷体" w:eastAsia="华文楷体"/>
          <w:sz w:val="24"/>
        </w:rPr>
        <w:t>推荐等级： 高</w:t>
      </w:r>
    </w:p>
    <w:p>
      <w:pPr>
        <w:pStyle w:val="ListBullet"/>
      </w:pPr>
      <w:r>
        <w:rPr>
          <w:rFonts w:ascii="华文楷体" w:hAnsi="华文楷体" w:eastAsia="华文楷体"/>
          <w:sz w:val="24"/>
        </w:rPr>
        <w:t>所属行业： 锂电正极材料、钠电材料、固态电池材料</w:t>
      </w:r>
    </w:p>
    <w:p>
      <w:pPr>
        <w:pStyle w:val="ListBullet"/>
      </w:pPr>
      <w:r>
        <w:rPr>
          <w:rFonts w:ascii="华文楷体" w:hAnsi="华文楷体" w:eastAsia="华文楷体"/>
          <w:sz w:val="24"/>
        </w:rPr>
        <w:t>所在地区： 宁波</w:t>
      </w:r>
    </w:p>
    <w:p>
      <w:pPr>
        <w:pStyle w:val="ListBullet"/>
      </w:pPr>
      <w:r>
        <w:rPr>
          <w:rFonts w:ascii="华文楷体" w:hAnsi="华文楷体" w:eastAsia="华文楷体"/>
          <w:sz w:val="24"/>
        </w:rPr>
        <w:t>产业链位置： 上游/中游材料</w:t>
      </w:r>
    </w:p>
    <w:p>
      <w:pPr>
        <w:pStyle w:val="ListBullet"/>
      </w:pPr>
      <w:r>
        <w:rPr>
          <w:rFonts w:ascii="华文楷体" w:hAnsi="华文楷体" w:eastAsia="华文楷体"/>
          <w:sz w:val="24"/>
        </w:rPr>
        <w:t>推荐方向： 流动资金、票据、供应链金融、跨境结算、现金管理</w:t>
      </w:r>
    </w:p>
    <w:p>
      <w:r>
        <w:rPr>
          <w:rFonts w:ascii="华文楷体" w:hAnsi="华文楷体" w:eastAsia="华文楷体"/>
          <w:sz w:val="24"/>
        </w:rPr>
        <w:t>企业关键信息:</w:t>
      </w:r>
    </w:p>
    <w:p>
      <w:pPr>
        <w:pStyle w:val="ListBullet"/>
      </w:pPr>
      <w:r>
        <w:rPr>
          <w:rFonts w:ascii="华文楷体" w:hAnsi="华文楷体" w:eastAsia="华文楷体"/>
          <w:sz w:val="24"/>
        </w:rPr>
        <w:t>基本情况: 容百科技为正极材料龙头企业，业务覆盖三元材料、磷酸铁锂、钠电正极、磷酸锰铁锂和固态电池材料。公司与宁德时代签署磷酸铁锂正极材料长期采购合作协议，并于4月启动年产34万吨磷酸铁锂正极材料产能建设，近期在 CIBF 2026 展示多体系材料布局。</w:t>
      </w:r>
    </w:p>
    <w:p>
      <w:pPr>
        <w:pStyle w:val="ListBullet"/>
      </w:pPr>
      <w:r>
        <w:rPr>
          <w:rFonts w:ascii="华文楷体" w:hAnsi="华文楷体" w:eastAsia="华文楷体"/>
          <w:sz w:val="24"/>
        </w:rPr>
        <w:t>高层与团队背景: 董事长、总经理、核心技术人员白厚善公开履历显示，曾任矿冶总院冶金室工程师、高级工程师、教授级高级工程师及北京当升材料科技股份有限公司董事、总经理，具备材料研发、产业化和上市公司管理经验；学校、导师信息未披露。</w:t>
      </w:r>
    </w:p>
    <w:p>
      <w:pPr>
        <w:pStyle w:val="ListBullet"/>
      </w:pPr>
      <w:r>
        <w:rPr>
          <w:rFonts w:ascii="华文楷体" w:hAnsi="华文楷体" w:eastAsia="华文楷体"/>
          <w:sz w:val="24"/>
        </w:rPr>
        <w:t>银行关注点: 创始人具备材料科研与产业化背景，客户资源覆盖头部电池厂；但扩产、海外基地、客户认证和材料价格波动会提高资金占用和经营波动。</w:t>
      </w:r>
    </w:p>
    <w:p>
      <w:r>
        <w:rPr>
          <w:rFonts w:ascii="华文楷体" w:hAnsi="华文楷体" w:eastAsia="华文楷体"/>
          <w:sz w:val="24"/>
        </w:rPr>
        <w:t>推荐理由:</w:t>
      </w:r>
    </w:p>
    <w:p>
      <w:pPr>
        <w:pStyle w:val="ListBullet"/>
      </w:pPr>
      <w:r>
        <w:rPr>
          <w:rFonts w:ascii="华文楷体" w:hAnsi="华文楷体" w:eastAsia="华文楷体"/>
          <w:sz w:val="24"/>
        </w:rPr>
        <w:t>储能电芯和动力电池排产高位，带动正极材料需求，容百的高压实磷酸铁锂、钠电和固态材料布局贴合行业技术方向。</w:t>
      </w:r>
    </w:p>
    <w:p>
      <w:pPr>
        <w:pStyle w:val="ListBullet"/>
      </w:pPr>
      <w:r>
        <w:rPr>
          <w:rFonts w:ascii="华文楷体" w:hAnsi="华文楷体" w:eastAsia="华文楷体"/>
          <w:sz w:val="24"/>
        </w:rPr>
        <w:t>长协客户和新增产能带来备货、设备采购、工程建设、票据支付和应收账款周转需求。</w:t>
      </w:r>
    </w:p>
    <w:p>
      <w:pPr>
        <w:pStyle w:val="ListBullet"/>
      </w:pPr>
      <w:r>
        <w:rPr>
          <w:rFonts w:ascii="华文楷体" w:hAnsi="华文楷体" w:eastAsia="华文楷体"/>
          <w:sz w:val="24"/>
        </w:rPr>
        <w:t>宁波锂电材料产业链配套较完整，适合围绕核心客户和上游原料供应商做供应链金融。</w:t>
      </w:r>
    </w:p>
    <w:p>
      <w:r>
        <w:rPr>
          <w:rFonts w:ascii="华文楷体" w:hAnsi="华文楷体" w:eastAsia="华文楷体"/>
          <w:sz w:val="24"/>
        </w:rPr>
        <w:t>银行展业机会:</w:t>
      </w:r>
    </w:p>
    <w:p>
      <w:pPr>
        <w:pStyle w:val="ListBullet"/>
      </w:pPr>
      <w:r>
        <w:rPr>
          <w:rFonts w:ascii="华文楷体" w:hAnsi="华文楷体" w:eastAsia="华文楷体"/>
          <w:sz w:val="24"/>
        </w:rPr>
        <w:t>经营场景是材料扩产、客户认证、长期供货和海外布局。金融需求包括设备采购资金、原材料备货、应收账款周转、票据贴现、跨境收付和财资集中管理。可用科技创新和技术更新改造再贷款、平安租赁、国内信用证、银票极速贴现、付融通、商票e贴、数字财资和跨境资金管理切入。</w:t>
      </w:r>
    </w:p>
    <w:p>
      <w:r>
        <w:rPr>
          <w:rFonts w:ascii="华文楷体" w:hAnsi="华文楷体" w:eastAsia="华文楷体"/>
          <w:sz w:val="24"/>
        </w:rPr>
        <w:t>推荐产品组合:</w:t>
      </w:r>
    </w:p>
    <w:p>
      <w:r>
        <w:rPr>
          <w:rFonts w:ascii="华文楷体" w:hAnsi="华文楷体" w:eastAsia="华文楷体"/>
          <w:sz w:val="24"/>
        </w:rPr>
        <w:t>建议以科技创新和技术更新改造再贷款、平安租赁和国内信用证作为主推产品，解决扩产和设备采购场景；配套银票极速贴现、付融通、数字财资、跨境支付结算和平安避险，用于采购付款、应收周转和海外业务。额度、期限、费率和准入条件待沟通。</w:t>
      </w:r>
    </w:p>
    <w:p>
      <w:r>
        <w:rPr>
          <w:rFonts w:ascii="华文楷体" w:hAnsi="华文楷体" w:eastAsia="华文楷体"/>
          <w:sz w:val="24"/>
        </w:rPr>
        <w:t>客户经理切入话术:</w:t>
      </w:r>
    </w:p>
    <w:p>
      <w:r>
        <w:rPr>
          <w:rFonts w:ascii="华文楷体" w:hAnsi="华文楷体" w:eastAsia="华文楷体"/>
          <w:sz w:val="24"/>
        </w:rPr>
        <w:t>“储能和快充电池放量后，正极材料企业最核心的是备货、设备投入和回款周期。我们想围绕贵司新增产能和头部客户长协，做一版设备融资、票据和应收账款周转方案。”</w:t>
      </w:r>
    </w:p>
    <w:p>
      <w:r>
        <w:rPr>
          <w:rFonts w:ascii="华文楷体" w:hAnsi="华文楷体" w:eastAsia="华文楷体"/>
          <w:sz w:val="24"/>
        </w:rPr>
        <w:t>风险提示:</w:t>
      </w:r>
    </w:p>
    <w:p>
      <w:r>
        <w:rPr>
          <w:rFonts w:ascii="华文楷体" w:hAnsi="华文楷体" w:eastAsia="华文楷体"/>
          <w:sz w:val="24"/>
        </w:rPr>
        <w:t>需重点核查产能消化、客户集中度、原材料价格波动、海外项目投入、应收账款和存货；公司曾有监管处罚公开信息，授信前需确认整改情况和最新合规状态。</w:t>
      </w:r>
    </w:p>
    <w:p>
      <w:pPr>
        <w:pStyle w:val="Heading3"/>
      </w:pPr>
      <w:r>
        <w:t>企业名称：天能电池集团股份有限公司</w:t>
      </w:r>
    </w:p>
    <w:p>
      <w:pPr>
        <w:pStyle w:val="ListBullet"/>
      </w:pPr>
      <w:r>
        <w:rPr>
          <w:rFonts w:ascii="华文楷体" w:hAnsi="华文楷体" w:eastAsia="华文楷体"/>
          <w:sz w:val="24"/>
        </w:rPr>
        <w:t>推荐等级： 中高</w:t>
      </w:r>
    </w:p>
    <w:p>
      <w:pPr>
        <w:pStyle w:val="ListBullet"/>
      </w:pPr>
      <w:r>
        <w:rPr>
          <w:rFonts w:ascii="华文楷体" w:hAnsi="华文楷体" w:eastAsia="华文楷体"/>
          <w:sz w:val="24"/>
        </w:rPr>
        <w:t>所属行业： 动力电池、储能电池、钠电池、循环回收</w:t>
      </w:r>
    </w:p>
    <w:p>
      <w:pPr>
        <w:pStyle w:val="ListBullet"/>
      </w:pPr>
      <w:r>
        <w:rPr>
          <w:rFonts w:ascii="华文楷体" w:hAnsi="华文楷体" w:eastAsia="华文楷体"/>
          <w:sz w:val="24"/>
        </w:rPr>
        <w:t>所在地区： 湖州长兴</w:t>
      </w:r>
    </w:p>
    <w:p>
      <w:pPr>
        <w:pStyle w:val="ListBullet"/>
      </w:pPr>
      <w:r>
        <w:rPr>
          <w:rFonts w:ascii="华文楷体" w:hAnsi="华文楷体" w:eastAsia="华文楷体"/>
          <w:sz w:val="24"/>
        </w:rPr>
        <w:t>产业链位置： 中游/回收循环</w:t>
      </w:r>
    </w:p>
    <w:p>
      <w:pPr>
        <w:pStyle w:val="ListBullet"/>
      </w:pPr>
      <w:r>
        <w:rPr>
          <w:rFonts w:ascii="华文楷体" w:hAnsi="华文楷体" w:eastAsia="华文楷体"/>
          <w:sz w:val="24"/>
        </w:rPr>
        <w:t>推荐方向： 流动资金、设备融资、供应链金融、现金管理、代发</w:t>
      </w:r>
    </w:p>
    <w:p>
      <w:r>
        <w:rPr>
          <w:rFonts w:ascii="华文楷体" w:hAnsi="华文楷体" w:eastAsia="华文楷体"/>
          <w:sz w:val="24"/>
        </w:rPr>
        <w:t>企业关键信息:</w:t>
      </w:r>
    </w:p>
    <w:p>
      <w:pPr>
        <w:pStyle w:val="ListBullet"/>
      </w:pPr>
      <w:r>
        <w:rPr>
          <w:rFonts w:ascii="华文楷体" w:hAnsi="华文楷体" w:eastAsia="华文楷体"/>
          <w:sz w:val="24"/>
        </w:rPr>
        <w:t>基本情况: 天能股份是湖州长兴新能源电池企业，业务覆盖电动轻型车动力电池、储能电池、铅蓄电池回收循环及钠电等方向。公开年报资料显示，公司布局钠离子电池多技术路线，覆盖汽车启停、储能、低速电动车等应用场景。</w:t>
      </w:r>
    </w:p>
    <w:p>
      <w:pPr>
        <w:pStyle w:val="ListBullet"/>
      </w:pPr>
      <w:r>
        <w:rPr>
          <w:rFonts w:ascii="华文楷体" w:hAnsi="华文楷体" w:eastAsia="华文楷体"/>
          <w:sz w:val="24"/>
        </w:rPr>
        <w:t>高层与团队背景: 天能控股集团党委书记、董事长张天任为浙江长兴人，公开资料显示其为天能集团创始人，长期深耕动力电池和绿色能源产业，旗下拥有天能动力和天能股份两家上市平台；具体学校、专业、导师信息未披露。</w:t>
      </w:r>
    </w:p>
    <w:p>
      <w:pPr>
        <w:pStyle w:val="ListBullet"/>
      </w:pPr>
      <w:r>
        <w:rPr>
          <w:rFonts w:ascii="华文楷体" w:hAnsi="华文楷体" w:eastAsia="华文楷体"/>
          <w:sz w:val="24"/>
        </w:rPr>
        <w:t>银行关注点: 创始人产业资源和地方根基强，企业在湖州电池产业链中具备链主属性；银行需关注传统电池业务、储能新业务和回收业务之间的现金流结构。</w:t>
      </w:r>
    </w:p>
    <w:p>
      <w:r>
        <w:rPr>
          <w:rFonts w:ascii="华文楷体" w:hAnsi="华文楷体" w:eastAsia="华文楷体"/>
          <w:sz w:val="24"/>
        </w:rPr>
        <w:t>推荐理由:</w:t>
      </w:r>
    </w:p>
    <w:p>
      <w:pPr>
        <w:pStyle w:val="ListBullet"/>
      </w:pPr>
      <w:r>
        <w:rPr>
          <w:rFonts w:ascii="华文楷体" w:hAnsi="华文楷体" w:eastAsia="华文楷体"/>
          <w:sz w:val="24"/>
        </w:rPr>
        <w:t>储能和钠电池应用场景扩展，天能在电池制造、回收循环和钠电方面具备浙江本地产业基础。</w:t>
      </w:r>
    </w:p>
    <w:p>
      <w:pPr>
        <w:pStyle w:val="ListBullet"/>
      </w:pPr>
      <w:r>
        <w:rPr>
          <w:rFonts w:ascii="华文楷体" w:hAnsi="华文楷体" w:eastAsia="华文楷体"/>
          <w:sz w:val="24"/>
        </w:rPr>
        <w:t>电池行业排产高位会带来原材料采购、库存、渠道铺货和经销商资金需求。</w:t>
      </w:r>
    </w:p>
    <w:p>
      <w:pPr>
        <w:pStyle w:val="ListBullet"/>
      </w:pPr>
      <w:r>
        <w:rPr>
          <w:rFonts w:ascii="华文楷体" w:hAnsi="华文楷体" w:eastAsia="华文楷体"/>
          <w:sz w:val="24"/>
        </w:rPr>
        <w:t>长兴电池产业集群上下游企业多，适合以天能为核心拓展供应商、经销商和回收网络。</w:t>
      </w:r>
    </w:p>
    <w:p>
      <w:r>
        <w:rPr>
          <w:rFonts w:ascii="华文楷体" w:hAnsi="华文楷体" w:eastAsia="华文楷体"/>
          <w:sz w:val="24"/>
        </w:rPr>
        <w:t>银行展业机会:</w:t>
      </w:r>
    </w:p>
    <w:p>
      <w:pPr>
        <w:pStyle w:val="ListBullet"/>
      </w:pPr>
      <w:r>
        <w:rPr>
          <w:rFonts w:ascii="华文楷体" w:hAnsi="华文楷体" w:eastAsia="华文楷体"/>
          <w:sz w:val="24"/>
        </w:rPr>
        <w:t>经营场景是电池生产、渠道销售、储能项目交付和回收循环。金融需求包括短期流动资金、设备更新、经销商订货、票据贴现、供应商融资、代发和资金归集。平安银行可用平安透、网上自由贷、订货贷、普惠金融场景化方案、银票极速贴现、资产池、数字财资和平安薪切入。</w:t>
      </w:r>
    </w:p>
    <w:p>
      <w:r>
        <w:rPr>
          <w:rFonts w:ascii="华文楷体" w:hAnsi="华文楷体" w:eastAsia="华文楷体"/>
          <w:sz w:val="24"/>
        </w:rPr>
        <w:t>推荐产品组合:</w:t>
      </w:r>
    </w:p>
    <w:p>
      <w:r>
        <w:rPr>
          <w:rFonts w:ascii="华文楷体" w:hAnsi="华文楷体" w:eastAsia="华文楷体"/>
          <w:sz w:val="24"/>
        </w:rPr>
        <w:t>建议以资产池、数字财资和订货贷作为主推产品，解决多基地资金管理和经销商订货资金需求；配套银票极速贴现、普惠金融场景化方案、平安薪和平安租赁，用于供应商收款、设备更新和员工综合服务。额度、期限、费率和准入条件待沟通。</w:t>
      </w:r>
    </w:p>
    <w:p>
      <w:r>
        <w:rPr>
          <w:rFonts w:ascii="华文楷体" w:hAnsi="华文楷体" w:eastAsia="华文楷体"/>
          <w:sz w:val="24"/>
        </w:rPr>
        <w:t>客户经理切入话术:</w:t>
      </w:r>
    </w:p>
    <w:p>
      <w:r>
        <w:rPr>
          <w:rFonts w:ascii="华文楷体" w:hAnsi="华文楷体" w:eastAsia="华文楷体"/>
          <w:sz w:val="24"/>
        </w:rPr>
        <w:t>“天能的动力电池、储能和回收链条很完整，我们更想从多基地资金管理、经销商订货和供应商票据场景入手，先做高频低风险业务，再看设备更新和项目融资空间。”</w:t>
      </w:r>
    </w:p>
    <w:p>
      <w:r>
        <w:rPr>
          <w:rFonts w:ascii="华文楷体" w:hAnsi="华文楷体" w:eastAsia="华文楷体"/>
          <w:sz w:val="24"/>
        </w:rPr>
        <w:t>风险提示:</w:t>
      </w:r>
    </w:p>
    <w:p>
      <w:r>
        <w:rPr>
          <w:rFonts w:ascii="华文楷体" w:hAnsi="华文楷体" w:eastAsia="华文楷体"/>
          <w:sz w:val="24"/>
        </w:rPr>
        <w:t>需关注电池材料价格波动、渠道库存、传统业务与新业务盈利差异、应收账款和环保合规；暂无明显公开风险，仍需结合征信、流水、财报、合同、客户结构和实地尽调确认。</w:t>
      </w:r>
    </w:p>
    <w:p>
      <w:pPr>
        <w:pStyle w:val="Heading3"/>
      </w:pPr>
      <w:r>
        <w:t>企业名称：温州市交通运输集团能源有限公司</w:t>
      </w:r>
    </w:p>
    <w:p>
      <w:pPr>
        <w:pStyle w:val="ListBullet"/>
      </w:pPr>
      <w:r>
        <w:rPr>
          <w:rFonts w:ascii="华文楷体" w:hAnsi="华文楷体" w:eastAsia="华文楷体"/>
          <w:sz w:val="24"/>
        </w:rPr>
        <w:t>推荐等级： 中</w:t>
      </w:r>
    </w:p>
    <w:p>
      <w:pPr>
        <w:pStyle w:val="ListBullet"/>
      </w:pPr>
      <w:r>
        <w:rPr>
          <w:rFonts w:ascii="华文楷体" w:hAnsi="华文楷体" w:eastAsia="华文楷体"/>
          <w:sz w:val="24"/>
        </w:rPr>
        <w:t>所属行业： 分布式光伏、储能、交通能源服务</w:t>
      </w:r>
    </w:p>
    <w:p>
      <w:pPr>
        <w:pStyle w:val="ListBullet"/>
      </w:pPr>
      <w:r>
        <w:rPr>
          <w:rFonts w:ascii="华文楷体" w:hAnsi="华文楷体" w:eastAsia="华文楷体"/>
          <w:sz w:val="24"/>
        </w:rPr>
        <w:t>所在地区： 温州</w:t>
      </w:r>
    </w:p>
    <w:p>
      <w:pPr>
        <w:pStyle w:val="ListBullet"/>
      </w:pPr>
      <w:r>
        <w:rPr>
          <w:rFonts w:ascii="华文楷体" w:hAnsi="华文楷体" w:eastAsia="华文楷体"/>
          <w:sz w:val="24"/>
        </w:rPr>
        <w:t>产业链位置： 下游/项目运营商</w:t>
      </w:r>
    </w:p>
    <w:p>
      <w:pPr>
        <w:pStyle w:val="ListBullet"/>
      </w:pPr>
      <w:r>
        <w:rPr>
          <w:rFonts w:ascii="华文楷体" w:hAnsi="华文楷体" w:eastAsia="华文楷体"/>
          <w:sz w:val="24"/>
        </w:rPr>
        <w:t>推荐方向： 项目融资、现金管理、设备融资、结算服务</w:t>
      </w:r>
    </w:p>
    <w:p>
      <w:r>
        <w:rPr>
          <w:rFonts w:ascii="华文楷体" w:hAnsi="华文楷体" w:eastAsia="华文楷体"/>
          <w:sz w:val="24"/>
        </w:rPr>
        <w:t>企业关键信息:</w:t>
      </w:r>
    </w:p>
    <w:p>
      <w:pPr>
        <w:pStyle w:val="ListBullet"/>
      </w:pPr>
      <w:r>
        <w:rPr>
          <w:rFonts w:ascii="华文楷体" w:hAnsi="华文楷体" w:eastAsia="华文楷体"/>
          <w:sz w:val="24"/>
        </w:rPr>
        <w:t>基本情况: 温州市交运集团所属能源公司，公开信息显示其6个独立竞价光伏项目在浙江2026年机制电价竞价中全部中标，已建成多座光伏电站和储能电站，业务围绕交通场站、公共服务和分布式能源运营。</w:t>
      </w:r>
    </w:p>
    <w:p>
      <w:pPr>
        <w:pStyle w:val="ListBullet"/>
      </w:pPr>
      <w:r>
        <w:rPr>
          <w:rFonts w:ascii="华文楷体" w:hAnsi="华文楷体" w:eastAsia="华文楷体"/>
          <w:sz w:val="24"/>
        </w:rPr>
        <w:t>高层与团队背景: 公司具体高管教育背景、导师和职业经历未披露；股东背景具备地方国资和交通场景资源。</w:t>
      </w:r>
    </w:p>
    <w:p>
      <w:pPr>
        <w:pStyle w:val="ListBullet"/>
      </w:pPr>
      <w:r>
        <w:rPr>
          <w:rFonts w:ascii="华文楷体" w:hAnsi="华文楷体" w:eastAsia="华文楷体"/>
          <w:sz w:val="24"/>
        </w:rPr>
        <w:t>银行关注点: 交通场站具备稳定用能和屋顶/场地资源，适合形成“光伏+储能+充电+结算”的综合能源场景；项目收益率、机制电价、电费回款和设备运维能力需核实。</w:t>
      </w:r>
    </w:p>
    <w:p>
      <w:r>
        <w:rPr>
          <w:rFonts w:ascii="华文楷体" w:hAnsi="华文楷体" w:eastAsia="华文楷体"/>
          <w:sz w:val="24"/>
        </w:rPr>
        <w:t>推荐理由:</w:t>
      </w:r>
    </w:p>
    <w:p>
      <w:pPr>
        <w:pStyle w:val="ListBullet"/>
      </w:pPr>
      <w:r>
        <w:rPr>
          <w:rFonts w:ascii="华文楷体" w:hAnsi="华文楷体" w:eastAsia="华文楷体"/>
          <w:sz w:val="24"/>
        </w:rPr>
        <w:t>浙江机制电价竞价落地后，本地分布式光伏项目收益测算更加清晰，中标项目具备跟进价值。</w:t>
      </w:r>
    </w:p>
    <w:p>
      <w:pPr>
        <w:pStyle w:val="ListBullet"/>
      </w:pPr>
      <w:r>
        <w:rPr>
          <w:rFonts w:ascii="华文楷体" w:hAnsi="华文楷体" w:eastAsia="华文楷体"/>
          <w:sz w:val="24"/>
        </w:rPr>
        <w:t>交通场站可延伸充电桩、储能、光伏和用能结算，适合银行做项目账户和收款场景。</w:t>
      </w:r>
    </w:p>
    <w:p>
      <w:pPr>
        <w:pStyle w:val="ListBullet"/>
      </w:pPr>
      <w:r>
        <w:rPr>
          <w:rFonts w:ascii="华文楷体" w:hAnsi="华文楷体" w:eastAsia="华文楷体"/>
          <w:sz w:val="24"/>
        </w:rPr>
        <w:t>地方国资背景有助于降低客户准入难度，但仍需逐项目核实现金流。</w:t>
      </w:r>
    </w:p>
    <w:p>
      <w:r>
        <w:rPr>
          <w:rFonts w:ascii="华文楷体" w:hAnsi="华文楷体" w:eastAsia="华文楷体"/>
          <w:sz w:val="24"/>
        </w:rPr>
        <w:t>银行展业机会:</w:t>
      </w:r>
    </w:p>
    <w:p>
      <w:pPr>
        <w:pStyle w:val="ListBullet"/>
      </w:pPr>
      <w:r>
        <w:rPr>
          <w:rFonts w:ascii="华文楷体" w:hAnsi="华文楷体" w:eastAsia="华文楷体"/>
          <w:sz w:val="24"/>
        </w:rPr>
        <w:t>经营场景是交通场站光伏储能建设和运营，金融需求包括设备采购、工程款支付、电费收款、项目账户管理和运营资金周转。可用平安租赁、科技创新和技术更新改造再贷款、慧收款、数字财资、资产池、银票贴现和平安易资金监管切入。</w:t>
      </w:r>
    </w:p>
    <w:p>
      <w:r>
        <w:rPr>
          <w:rFonts w:ascii="华文楷体" w:hAnsi="华文楷体" w:eastAsia="华文楷体"/>
          <w:sz w:val="24"/>
        </w:rPr>
        <w:t>推荐产品组合:</w:t>
      </w:r>
    </w:p>
    <w:p>
      <w:r>
        <w:rPr>
          <w:rFonts w:ascii="华文楷体" w:hAnsi="华文楷体" w:eastAsia="华文楷体"/>
          <w:sz w:val="24"/>
        </w:rPr>
        <w:t>建议以平安租赁和数字财资作为主推产品，解决光伏储能设备投入和多项目账户管理；配套慧收款、资产池、银票极速贴现和平安易资金监管，用于电费回款、工程支付和项目资金监管。额度、期限、费率和准入条件待沟通。</w:t>
      </w:r>
    </w:p>
    <w:p>
      <w:r>
        <w:rPr>
          <w:rFonts w:ascii="华文楷体" w:hAnsi="华文楷体" w:eastAsia="华文楷体"/>
          <w:sz w:val="24"/>
        </w:rPr>
        <w:t>客户经理切入话术:</w:t>
      </w:r>
    </w:p>
    <w:p>
      <w:r>
        <w:rPr>
          <w:rFonts w:ascii="华文楷体" w:hAnsi="华文楷体" w:eastAsia="华文楷体"/>
          <w:sz w:val="24"/>
        </w:rPr>
        <w:t>“浙江机制电价竞价后，交通场站光伏储能项目现金流更容易测算。我们可以先按6个中标项目逐项看投资额、设备付款和电费回款，再设计项目账户和设备融资方案。”</w:t>
      </w:r>
    </w:p>
    <w:p>
      <w:r>
        <w:rPr>
          <w:rFonts w:ascii="华文楷体" w:hAnsi="华文楷体" w:eastAsia="华文楷体"/>
          <w:sz w:val="24"/>
        </w:rPr>
        <w:t>风险提示:</w:t>
      </w:r>
    </w:p>
    <w:p>
      <w:r>
        <w:rPr>
          <w:rFonts w:ascii="华文楷体" w:hAnsi="华文楷体" w:eastAsia="华文楷体"/>
          <w:sz w:val="24"/>
        </w:rPr>
        <w:t>需核实项目资本金、并网进度、机制电量、设备供应商、运维责任和电费回款安排；高管团队背景未披露，仍需实地尽调确认。</w:t>
      </w:r>
    </w:p>
    <w:p>
      <w:pPr>
        <w:pStyle w:val="Heading2"/>
      </w:pPr>
      <w:r>
        <w:t>四、客户经理行动建议</w:t>
      </w:r>
    </w:p>
    <w:p>
      <w:pPr>
        <w:pStyle w:val="ListNumber"/>
      </w:pPr>
      <w:r>
        <w:rPr>
          <w:rFonts w:ascii="华文楷体" w:hAnsi="华文楷体" w:eastAsia="华文楷体"/>
          <w:sz w:val="24"/>
        </w:rPr>
        <w:t>优先拜访正泰新能科技股份有限公司和运达能源科技集团股份有限公司，从央国企订单、项目保函、银票支付和供应商账期切入，准备商票保贴、付融通、银票无感贴现、境内保函、资产池和数字财资方案。</w:t>
      </w:r>
    </w:p>
    <w:p>
      <w:pPr>
        <w:pStyle w:val="ListNumber"/>
      </w:pPr>
      <w:r>
        <w:rPr>
          <w:rFonts w:ascii="华文楷体" w:hAnsi="华文楷体" w:eastAsia="华文楷体"/>
          <w:sz w:val="24"/>
        </w:rPr>
        <w:t>对宁波容百新能源科技股份有限公司做审慎跟进，先围绕新增磷酸铁锂产能、头部客户长协和设备采购梳理现金流，重点准备科技创新和技术更新改造再贷款、平安租赁、国内信用证、银票贴现和跨境结算方案。</w:t>
      </w:r>
    </w:p>
    <w:p>
      <w:pPr>
        <w:pStyle w:val="ListNumber"/>
      </w:pPr>
      <w:r>
        <w:rPr>
          <w:rFonts w:ascii="华文楷体" w:hAnsi="华文楷体" w:eastAsia="华文楷体"/>
          <w:sz w:val="24"/>
        </w:rPr>
        <w:t>对天能电池集团股份有限公司从长兴电池产业集群切入，先做多基地资金管理、经销商订货和供应商票据场景，联动普惠团队准备订货贷、普惠金融场景化方案、资产池、数字财资和平安薪。</w:t>
      </w:r>
    </w:p>
    <w:p>
      <w:pPr>
        <w:pStyle w:val="ListNumber"/>
      </w:pPr>
      <w:r>
        <w:rPr>
          <w:rFonts w:ascii="华文楷体" w:hAnsi="华文楷体" w:eastAsia="华文楷体"/>
          <w:sz w:val="24"/>
        </w:rPr>
        <w:t>对温州市交通运输集团能源有限公司，建议从6个机制电价中标光伏项目逐项沟通投资额、设备供应商、并网时间和电费回款账户，准备平安租赁、数字财资、慧收款、资产池和平安易资金监管方案。</w:t>
      </w:r>
    </w:p>
    <w:p>
      <w:pPr>
        <w:pStyle w:val="ListNumber"/>
      </w:pPr>
      <w:r>
        <w:rPr>
          <w:rFonts w:ascii="华文楷体" w:hAnsi="华文楷体" w:eastAsia="华文楷体"/>
          <w:sz w:val="24"/>
        </w:rPr>
        <w:t>本周扫客重点放在杭州风电/储能装备、宁波锂电材料、湖州电池、温州和金华分布式光伏储能项目四条线，先问“订单是否确定、账期多长、设备谁供、回款账户在哪里、是否有海外收付”，再匹配产品。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