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华文楷体" w:hAnsi="华文楷体"/>
          <w:sz w:val="44"/>
        </w:rPr>
        <w:t>生物医药行业商机周报</w:t>
      </w:r>
    </w:p>
    <w:p>
      <w:r>
        <w:rPr>
          <w:rFonts w:ascii="华文楷体" w:hAnsi="华文楷体"/>
          <w:b w:val="0"/>
          <w:sz w:val="20"/>
        </w:rPr>
        <w:t>覆盖周期：2026.05.16 — 2026.05.23</w:t>
      </w:r>
    </w:p>
    <w:p>
      <w:r>
        <w:rPr>
          <w:rFonts w:ascii="华文楷体" w:hAnsi="华文楷体"/>
          <w:b w:val="0"/>
          <w:sz w:val="20"/>
        </w:rPr>
        <w:t>编制：平安银行杭州分行 首席行业分析师</w:t>
      </w:r>
    </w:p>
    <w:p/>
    <w:p>
      <w:pPr>
        <w:pStyle w:val="Heading1"/>
      </w:pPr>
      <w:r>
        <w:t>一、行业动态与发展总结</w:t>
      </w:r>
    </w:p>
    <w:p>
      <w:pPr>
        <w:pStyle w:val="Heading2"/>
      </w:pPr>
      <w:r>
        <w:t>1. 近期政策变动</w:t>
      </w:r>
    </w:p>
    <w:p>
      <w:r>
        <w:rPr>
          <w:rFonts w:ascii="华文楷体" w:hAnsi="华文楷体"/>
          <w:b w:val="0"/>
          <w:sz w:val="22"/>
        </w:rPr>
        <w:t>国家医保局发布五年监管计划：5月中旬，国家医疗保障局印发《医疗保障基金监督检查五年行动计划（2026年—2030年）》，明确未来五年医保基金监管的方向、频次和手段。该计划将建立常态化、全覆盖的监督检查机制，重点打击欺诈骗保、过度医疗等行为。</w:t>
      </w:r>
    </w:p>
    <w:p>
      <w:r>
        <w:rPr>
          <w:rFonts w:ascii="华文楷体" w:hAnsi="华文楷体"/>
          <w:b w:val="0"/>
          <w:sz w:val="22"/>
        </w:rPr>
        <w:t>2026年医保目录调整方案公开征求意见：《2026年国家基本医疗保险、生育保险和工伤保险药品目录及商业健康保险创新药品目录调整工作方案》同步发布征求意见稿。本次调整继续强调创新药优先纳入，同时商业健康保险创新药品目录作为新增方向，有望打通创新药院外支付通道。</w:t>
      </w:r>
    </w:p>
    <w:p>
      <w:r>
        <w:rPr>
          <w:rFonts w:ascii="华文楷体" w:hAnsi="华文楷体"/>
          <w:b w:val="0"/>
          <w:sz w:val="22"/>
        </w:rPr>
        <w:t>CDE发布2025年度药品审评报告：国家药监局药品审评中心（CDE）发布年度报告，披露2025年审评审批总体数据。报告明确创新药、细胞基因治疗、ADC等领域的审评通道持续优化，优先审评比例稳步提升。</w:t>
      </w:r>
    </w:p>
    <w:p>
      <w:r>
        <w:rPr>
          <w:rFonts w:ascii="华文楷体" w:hAnsi="华文楷体"/>
          <w:b w:val="0"/>
          <w:sz w:val="22"/>
        </w:rPr>
        <w:t>脑机接口国家政策支持：国务院及科技部层面持续推进脑机接口领域的政策支持，相关技术标准和应用规范逐步落地。</w:t>
      </w:r>
    </w:p>
    <w:p/>
    <w:p>
      <w:r>
        <w:rPr>
          <w:rFonts w:ascii="华文楷体" w:hAnsi="华文楷体"/>
          <w:b w:val="0"/>
          <w:sz w:val="22"/>
        </w:rPr>
        <w:t>综合影响闭环：医保监管趋严意味着医药企业合规成本上升，但也为真正具备临床价值的创新药创造了更好的支付环境。医保目录调整叠加商保创新药目录，构成创新药商业化"双通道"。CDE审评效率持续提升直接利好研发型药企缩短上市周期。对银行而言，合规压力大的医药流通企业、代理商可能面临资金周转压力，同时创新药企获得医保准入后的销售收入确定性提升，可对应配置供应链金融、应收账款融资等产品。</w:t>
      </w:r>
    </w:p>
    <w:p>
      <w:pPr>
        <w:pStyle w:val="Heading2"/>
      </w:pPr>
      <w:r>
        <w:t>2. 政府规划与产业方向</w:t>
      </w:r>
    </w:p>
    <w:p>
      <w:r>
        <w:rPr>
          <w:rFonts w:ascii="华文楷体" w:hAnsi="华文楷体"/>
          <w:b w:val="0"/>
          <w:sz w:val="22"/>
        </w:rPr>
        <w:t>生物医药被列为新兴支柱产业：2026年政府工作报告将生物医药正式定位为"新兴支柱产业"，政策层级从"战略性新兴产业"进一步提升，意味着财政、信贷、土地等资源将进一步向生物医药倾斜。</w:t>
      </w:r>
    </w:p>
    <w:p>
      <w:r>
        <w:rPr>
          <w:rFonts w:ascii="华文楷体" w:hAnsi="华文楷体"/>
          <w:b w:val="0"/>
          <w:sz w:val="22"/>
        </w:rPr>
        <w:t>脑机接口列入重点支持方向：国家层面持续加大对脑机接口、AI医疗应用、手术机器人等前沿领域的支持力度，相关技术标准和应用场景正在快速落地。</w:t>
      </w:r>
    </w:p>
    <w:p>
      <w:r>
        <w:rPr>
          <w:rFonts w:ascii="华文楷体" w:hAnsi="华文楷体"/>
          <w:b w:val="0"/>
          <w:sz w:val="22"/>
        </w:rPr>
        <w:t>合成生物产业政策加速：多部委联合推动合成生物学在医药、食品、材料等领域的应用，2026年第三届合成生物学产业大会将于6月召开，已有3800名行业同仁报名，显示产业热度持续升温。</w:t>
      </w:r>
    </w:p>
    <w:p>
      <w:pPr>
        <w:pStyle w:val="Heading2"/>
      </w:pPr>
      <w:r>
        <w:t>3. 行业发展趋势</w:t>
      </w:r>
    </w:p>
    <w:p>
      <w:r>
        <w:rPr>
          <w:rFonts w:ascii="华文楷体" w:hAnsi="华文楷体"/>
          <w:b w:val="0"/>
          <w:sz w:val="22"/>
        </w:rPr>
        <w:t>创新药BD交易创纪录：2026年一季度中国创新药对外授权（BD）总金额达614亿美元，接近2025年全年规模。恒瑞医药与百时美施贵宝（BMS）签署战略合作及许可协议，交易额高达152亿美元，创中国创新药BD交易新纪录。</w:t>
      </w:r>
    </w:p>
    <w:p>
      <w:r>
        <w:rPr>
          <w:rFonts w:ascii="华文楷体" w:hAnsi="华文楷体"/>
          <w:b w:val="0"/>
          <w:sz w:val="22"/>
        </w:rPr>
        <w:t>生物制品IND首次超过化药：截至2026年4月底，生物制品IND申请已达403个品种，比化药的382个多21个品种。自2020年起生物制品IND逐年攀升，至2022年已超过化药。4月CDE整体审评通过率达88.9%。</w:t>
      </w:r>
    </w:p>
    <w:p>
      <w:r>
        <w:rPr>
          <w:rFonts w:ascii="华文楷体" w:hAnsi="华文楷体"/>
          <w:b w:val="0"/>
          <w:sz w:val="22"/>
        </w:rPr>
        <w:t>CXO行业明确拐点：康龙化成2025年营收同比增长14.9%，新签订单同比增长超10%。药石科技2025年营收19.74亿元（同比+16.93%），2026年一季度净利润同比反弹36.59%。创新药+高端医疗器械赛道经历三年盘整后，2026年一季度已明确反转。</w:t>
      </w:r>
    </w:p>
    <w:p>
      <w:r>
        <w:rPr>
          <w:rFonts w:ascii="华文楷体" w:hAnsi="华文楷体"/>
          <w:b w:val="0"/>
          <w:sz w:val="22"/>
        </w:rPr>
        <w:t>ADC赛道持续升温：科伦博泰的芦康沙妥珠单抗两款注册研究入选2026 ASCO口头报告专场。联合帕博利珠单抗一线治疗PD-L1阳性晚期NSCLC的III期研究显示，中位PFS尚未达到 vs 5.7个月（HR=0.35），ORR达70.2% vs 42.0%。sNDA已获NMPA受理并纳入优先审评。</w:t>
      </w:r>
    </w:p>
    <w:p>
      <w:r>
        <w:rPr>
          <w:rFonts w:ascii="华文楷体" w:hAnsi="华文楷体"/>
          <w:b w:val="0"/>
          <w:sz w:val="22"/>
        </w:rPr>
        <w:t>细胞治疗取得突破：英百瑞（杭州）生物医药有限公司自主研发的IBR900细胞注射液，6项新药申请同步获得国家药监局受理，覆盖多个血液肿瘤适应症。</w:t>
      </w:r>
    </w:p>
    <w:p>
      <w:r>
        <w:rPr>
          <w:rFonts w:ascii="华文楷体" w:hAnsi="华文楷体"/>
          <w:b w:val="0"/>
          <w:sz w:val="22"/>
        </w:rPr>
        <w:t>医疗器械行业处于量价底部：2026年是医疗设备价格承压的最后一年，预计集采结束后国内设备价格将处于低位，后续无大幅降价空间。设备更新周期即将到来。</w:t>
      </w:r>
    </w:p>
    <w:p>
      <w:r>
        <w:rPr>
          <w:rFonts w:ascii="华文楷体" w:hAnsi="华文楷体"/>
          <w:b w:val="0"/>
          <w:sz w:val="22"/>
        </w:rPr>
        <w:t>外商投资结构优化：商务部数据显示，2026年1-4月高技术产业实际使用外资1163.3亿元，同比增长20.3%，其中研发与设计服务增长108.4%。</w:t>
      </w:r>
    </w:p>
    <w:p>
      <w:pPr>
        <w:pStyle w:val="Heading2"/>
      </w:pPr>
      <w:r>
        <w:t>4. 上下游产业链动态</w:t>
      </w:r>
    </w:p>
    <w:p>
      <w:r>
        <w:rPr>
          <w:rFonts w:ascii="华文楷体" w:hAnsi="华文楷体"/>
          <w:b w:val="0"/>
          <w:sz w:val="22"/>
        </w:rPr>
        <w:t>上游（研发服务与实验耗材）：CXO龙头新签订单持续高增，全球订单向国内转移趋势明确。剂泰完成1亿美元C轮融资，显示药物递送赛道持续受资本青睐。</w:t>
      </w:r>
    </w:p>
    <w:p>
      <w:r>
        <w:rPr>
          <w:rFonts w:ascii="华文楷体" w:hAnsi="华文楷体"/>
          <w:b w:val="0"/>
          <w:sz w:val="22"/>
        </w:rPr>
        <w:t>中游（药物研发与器械制造）：创新药企从临床早期向后期推进的速度加快。医疗器械集采接近尾声，头部企业依靠高端产品实现进口替代。</w:t>
      </w:r>
    </w:p>
    <w:p>
      <w:r>
        <w:rPr>
          <w:rFonts w:ascii="华文楷体" w:hAnsi="华文楷体"/>
          <w:b w:val="0"/>
          <w:sz w:val="22"/>
        </w:rPr>
        <w:t>下游（医药商业与终端销售）：医保监管五年计划意味着流通环节合规要求提升。DRG/DIP支付改革已持续两年，行业挤水分基本完成。化学发光集采后国产品牌替代外资的速度加快。</w:t>
      </w:r>
    </w:p>
    <w:p>
      <w:pPr>
        <w:pStyle w:val="Heading1"/>
      </w:pPr>
      <w:r>
        <w:t>二、浙江地区动态与区域机会</w:t>
      </w:r>
    </w:p>
    <w:p>
      <w:pPr>
        <w:pStyle w:val="Heading2"/>
      </w:pPr>
      <w:r>
        <w:t>1. 浙江政策与政府规划</w:t>
      </w:r>
    </w:p>
    <w:p>
      <w:r>
        <w:rPr>
          <w:rFonts w:ascii="华文楷体" w:hAnsi="华文楷体"/>
          <w:b w:val="0"/>
          <w:sz w:val="22"/>
        </w:rPr>
        <w:t>杭州持续优化创新生态：杭州市2026年创新生态建设方案强调"三个更加聚焦"——更加聚焦服务一流创新生态建设、更加聚焦各类主体协同融通发展、更加聚焦解决企业反映的新问题。杭州钱塘新区"医药港"持续释放政策红利。</w:t>
      </w:r>
    </w:p>
    <w:p>
      <w:r>
        <w:rPr>
          <w:rFonts w:ascii="华文楷体" w:hAnsi="华文楷体"/>
          <w:b w:val="0"/>
          <w:sz w:val="22"/>
        </w:rPr>
        <w:t>2026中国温州生物医药产业大会即将举办，温州作为浙江南部生物医药重镇，在原料药、仿制药、中药等领域有深厚基础，大会将进一步推动区域产业招商和政企对接。</w:t>
      </w:r>
    </w:p>
    <w:p>
      <w:pPr>
        <w:pStyle w:val="Heading2"/>
      </w:pPr>
      <w:r>
        <w:t>2. 浙江重点产业与区域机会</w:t>
      </w:r>
    </w:p>
    <w:p>
      <w:r>
        <w:rPr>
          <w:rFonts w:ascii="华文楷体" w:hAnsi="华文楷体"/>
          <w:b w:val="0"/>
          <w:sz w:val="22"/>
        </w:rPr>
        <w:t>细胞治疗：杭州英百瑞标杆性进展。英百瑞6项细胞治疗新药申请同步获受理，是本周浙江生物医药领域最重大的产业信号，标志着浙江在CGT赛道的产业化能力已进入全国第一梯队。</w:t>
      </w:r>
    </w:p>
    <w:p>
      <w:r>
        <w:rPr>
          <w:rFonts w:ascii="华文楷体" w:hAnsi="华文楷体"/>
          <w:b w:val="0"/>
          <w:sz w:val="22"/>
        </w:rPr>
        <w:t>杭州医药港集群效应释放：钱塘新区"杭州医药港"已聚集超过500家生物医药企业，涵盖创新药研发、CXO服务、医疗器械、细胞治疗等全产业链。</w:t>
      </w:r>
    </w:p>
    <w:p>
      <w:r>
        <w:rPr>
          <w:rFonts w:ascii="华文楷体" w:hAnsi="华文楷体"/>
          <w:b w:val="0"/>
          <w:sz w:val="22"/>
        </w:rPr>
        <w:t>台州原料药基地与合成生物：合成生物学正成为医药产业转型的重要风口。浙江台州作为全国重要的原料药基地，具备向合成生物和高附加值制剂延伸的产业基础。</w:t>
      </w:r>
    </w:p>
    <w:p>
      <w:pPr>
        <w:pStyle w:val="Heading2"/>
      </w:pPr>
      <w:r>
        <w:t>3. 浙江上下游产业链动态</w:t>
      </w:r>
    </w:p>
    <w:p>
      <w:r>
        <w:rPr>
          <w:rFonts w:ascii="华文楷体" w:hAnsi="华文楷体"/>
          <w:b w:val="0"/>
          <w:sz w:val="22"/>
        </w:rPr>
        <w:t>上游研发端：杭州拥有浙江大学等一流科研院所，为生物医药企业提供人才和研发支撑。CGT领域的突破带动上游细胞培养、基因编辑、病毒载体等配套需求。</w:t>
      </w:r>
    </w:p>
    <w:p>
      <w:r>
        <w:rPr>
          <w:rFonts w:ascii="华文楷体" w:hAnsi="华文楷体"/>
          <w:b w:val="0"/>
          <w:sz w:val="22"/>
        </w:rPr>
        <w:t>中游制造端：杭州医药港内的CXO企业承接全球订单，CDMO产能持续扩张。台州原料药企业面临向高附加值制剂转型的压力与机遇。</w:t>
      </w:r>
    </w:p>
    <w:p>
      <w:r>
        <w:rPr>
          <w:rFonts w:ascii="华文楷体" w:hAnsi="华文楷体"/>
          <w:b w:val="0"/>
          <w:sz w:val="22"/>
        </w:rPr>
        <w:t>下游流通端：浙江英特集团（SZ.000411）作为区域性医药流通重点企业，主营药品、生物制品、医疗器械经营，总部杭州，业务覆盖浙江省内医疗机构终端。</w:t>
      </w:r>
    </w:p>
    <w:p>
      <w:pPr>
        <w:pStyle w:val="Heading2"/>
      </w:pPr>
      <w:r>
        <w:t>4. 银行展业机会</w:t>
      </w:r>
    </w:p>
    <w:p>
      <w:r>
        <w:rPr>
          <w:rFonts w:ascii="华文楷体" w:hAnsi="华文楷体"/>
          <w:b w:val="0"/>
          <w:sz w:val="22"/>
        </w:rPr>
        <w:t>1. 细胞治疗企业集群营销：以英百瑞为标杆，梳理杭州医药港内CGT赛道企业名单，针对处于临床中后期、有产业化基地建设需求的企业，提供项目贷款、设备融资切入。</w:t>
      </w:r>
    </w:p>
    <w:p>
      <w:r>
        <w:rPr>
          <w:rFonts w:ascii="华文楷体" w:hAnsi="华文楷体"/>
          <w:b w:val="0"/>
          <w:sz w:val="22"/>
        </w:rPr>
        <w:t>2. CXO企业跨境结算：杭州/宁波地区CXO企业海外收入占比持续提升，可切入跨境支付结算、外币存款、跨境资金管理等产品。</w:t>
      </w:r>
    </w:p>
    <w:p>
      <w:r>
        <w:rPr>
          <w:rFonts w:ascii="华文楷体" w:hAnsi="华文楷体"/>
          <w:b w:val="0"/>
          <w:sz w:val="22"/>
        </w:rPr>
        <w:t>3. 医药流通企业供应链金融：英特集团等大型医药流通企业面对医院端应收账款周期较长，适合配置付融通、保理、商票保贴等供应链金融产品。</w:t>
      </w:r>
    </w:p>
    <w:p>
      <w:r>
        <w:rPr>
          <w:rFonts w:ascii="华文楷体" w:hAnsi="华文楷体"/>
          <w:b w:val="0"/>
          <w:sz w:val="22"/>
        </w:rPr>
        <w:t>4. 原料药企业技改融资：台州原料药企业向合成生物和高附加值制剂转型，涉及GMP车间改造、新设备采购，可匹配科技创新和技术更新改造再贷款、设备融资。</w:t>
      </w:r>
    </w:p>
    <w:p>
      <w:r>
        <w:rPr>
          <w:rFonts w:ascii="华文楷体" w:hAnsi="华文楷体"/>
          <w:b w:val="0"/>
          <w:sz w:val="22"/>
        </w:rPr>
        <w:t>5. 创新药企业BD首付款资金管理：BD交易首付款到账后，药企面临大额资金管理与分阶段支出规划需求，可配置数字财资、资产池等产品。</w:t>
      </w:r>
    </w:p>
    <w:p>
      <w:pPr>
        <w:pStyle w:val="Heading1"/>
      </w:pPr>
      <w:r>
        <w:t>三、重点企业推荐</w:t>
      </w:r>
    </w:p>
    <w:p>
      <w:pPr>
        <w:pStyle w:val="Heading2"/>
      </w:pPr>
      <w:r>
        <w:t>英百瑞（杭州）生物医药有限公司</w:t>
      </w:r>
    </w:p>
    <w:p>
      <w:r>
        <w:rPr>
          <w:rFonts w:ascii="华文楷体" w:hAnsi="华文楷体"/>
          <w:b w:val="0"/>
          <w:sz w:val="22"/>
        </w:rPr>
        <w:t>推荐等级：高</w:t>
      </w:r>
    </w:p>
    <w:p>
      <w:r>
        <w:rPr>
          <w:rFonts w:ascii="华文楷体" w:hAnsi="华文楷体"/>
          <w:b w:val="0"/>
          <w:sz w:val="22"/>
        </w:rPr>
        <w:t>所属行业：细胞与基因治疗（CGT）</w:t>
      </w:r>
    </w:p>
    <w:p>
      <w:r>
        <w:rPr>
          <w:rFonts w:ascii="华文楷体" w:hAnsi="华文楷体"/>
          <w:b w:val="0"/>
          <w:sz w:val="22"/>
        </w:rPr>
        <w:t>所在地区：杭州</w:t>
      </w:r>
    </w:p>
    <w:p>
      <w:r>
        <w:rPr>
          <w:rFonts w:ascii="华文楷体" w:hAnsi="华文楷体"/>
          <w:b w:val="0"/>
          <w:sz w:val="22"/>
        </w:rPr>
        <w:t>产业链位置：中游——细胞治疗产品研发与产业化</w:t>
      </w:r>
    </w:p>
    <w:p>
      <w:r>
        <w:rPr>
          <w:rFonts w:ascii="华文楷体" w:hAnsi="华文楷体"/>
          <w:b w:val="0"/>
          <w:sz w:val="22"/>
        </w:rPr>
        <w:t>推荐方向：项目贷款 / 供应链金融 / 现金管理 / 跨境结算</w:t>
      </w:r>
    </w:p>
    <w:p>
      <w:pPr>
        <w:pStyle w:val="Heading3"/>
      </w:pPr>
      <w:r>
        <w:t>企业关键信息</w:t>
      </w:r>
    </w:p>
    <w:p>
      <w:r>
        <w:rPr>
          <w:rFonts w:ascii="华文楷体" w:hAnsi="华文楷体"/>
          <w:b w:val="0"/>
          <w:sz w:val="22"/>
        </w:rPr>
        <w:t>基本情况：英百瑞总部位于杭州，聚焦细胞与基因治疗领域，自主研发IBR900细胞注射液。本周6项新药申请同步获得国家药监局受理，覆盖多个血液肿瘤适应症，是国内细胞治疗领域规模化申报的标杆企业。</w:t>
      </w:r>
    </w:p>
    <w:p>
      <w:r>
        <w:rPr>
          <w:rFonts w:ascii="华文楷体" w:hAnsi="华文楷体"/>
          <w:b w:val="0"/>
          <w:sz w:val="22"/>
        </w:rPr>
        <w:t>高层与团队背景：未披露/待核实。从公司业务方向推断，核心团队应具备细胞治疗、免疫治疗、临床研究等相关领域的学术和产业背景。</w:t>
      </w:r>
    </w:p>
    <w:p>
      <w:r>
        <w:rPr>
          <w:rFonts w:ascii="华文楷体" w:hAnsi="华文楷体"/>
          <w:b w:val="0"/>
          <w:sz w:val="22"/>
        </w:rPr>
        <w:t>银行关注点：6项新药同步受理意味着公司正处于从临床向产业化快速过渡的关键阶段，后续需要GMP车间建设、临床试验资金、产能扩建等大量资金投入，金融需求明确且紧迫。</w:t>
      </w:r>
    </w:p>
    <w:p>
      <w:pPr>
        <w:pStyle w:val="Heading3"/>
      </w:pPr>
      <w:r>
        <w:t>推荐理由</w:t>
      </w:r>
    </w:p>
    <w:p>
      <w:r>
        <w:rPr>
          <w:rFonts w:ascii="华文楷体" w:hAnsi="华文楷体"/>
          <w:b w:val="0"/>
          <w:sz w:val="22"/>
        </w:rPr>
        <w:t>• 本周浙江生物医药领域最重磅信号，6项新药同步受理在国内CGT领域极为罕见</w:t>
      </w:r>
    </w:p>
    <w:p>
      <w:r>
        <w:rPr>
          <w:rFonts w:ascii="华文楷体" w:hAnsi="华文楷体"/>
          <w:b w:val="0"/>
          <w:sz w:val="22"/>
        </w:rPr>
        <w:t>• 细胞治疗是国家重点支持的前沿领域，符合浙江"415X"先进制造业集群定位</w:t>
      </w:r>
    </w:p>
    <w:p>
      <w:r>
        <w:rPr>
          <w:rFonts w:ascii="华文楷体" w:hAnsi="华文楷体"/>
          <w:b w:val="0"/>
          <w:sz w:val="22"/>
        </w:rPr>
        <w:t>• 总部位于杭州医药港集群，产业生态完善，便于批量获客</w:t>
      </w:r>
    </w:p>
    <w:p>
      <w:r>
        <w:rPr>
          <w:rFonts w:ascii="华文楷体" w:hAnsi="华文楷体"/>
          <w:b w:val="0"/>
          <w:sz w:val="22"/>
        </w:rPr>
        <w:t>• 新药受理到获批期间将产生大量资金需求，银行介入窗口期明确</w:t>
      </w:r>
    </w:p>
    <w:p>
      <w:pPr>
        <w:pStyle w:val="Heading3"/>
      </w:pPr>
      <w:r>
        <w:t>银行展业机会</w:t>
      </w:r>
    </w:p>
    <w:p>
      <w:r>
        <w:rPr>
          <w:rFonts w:ascii="华文楷体" w:hAnsi="华文楷体"/>
          <w:b w:val="0"/>
          <w:sz w:val="22"/>
        </w:rPr>
        <w:t>• GMP车间/产业化基地建设 → 项目贷款、设备融资、科技创新和技术更新改造再贷款</w:t>
      </w:r>
    </w:p>
    <w:p>
      <w:r>
        <w:rPr>
          <w:rFonts w:ascii="华文楷体" w:hAnsi="华文楷体"/>
          <w:b w:val="0"/>
          <w:sz w:val="22"/>
        </w:rPr>
        <w:t>• 临床试验阶段资金需求 → 短贷、普惠金融科创贷</w:t>
      </w:r>
    </w:p>
    <w:p>
      <w:r>
        <w:rPr>
          <w:rFonts w:ascii="华文楷体" w:hAnsi="华文楷体"/>
          <w:b w:val="0"/>
          <w:sz w:val="22"/>
        </w:rPr>
        <w:t>• 研发团队及运营资金管理 → 数字财资、资产池、平安薪（代发）</w:t>
      </w:r>
    </w:p>
    <w:p>
      <w:r>
        <w:rPr>
          <w:rFonts w:ascii="华文楷体" w:hAnsi="华文楷体"/>
          <w:b w:val="0"/>
          <w:sz w:val="22"/>
        </w:rPr>
        <w:t>• 未来产品获批后的商业化资金回笼 → 慧收款、移企付</w:t>
      </w:r>
    </w:p>
    <w:p>
      <w:pPr>
        <w:pStyle w:val="Heading3"/>
      </w:pPr>
      <w:r>
        <w:t>推荐产品组合</w:t>
      </w:r>
    </w:p>
    <w:p>
      <w:r>
        <w:rPr>
          <w:rFonts w:ascii="华文楷体" w:hAnsi="华文楷体"/>
          <w:b w:val="0"/>
          <w:sz w:val="22"/>
        </w:rPr>
        <w:t>建议以项目贷款/设备融资切入，解决企业GMP车间建设和产业化基地的核心资金需求；配套使用数字财资+资产池用于临床试验阶段的多账户资金统筹管理；如企业有海外临床或国际合作需求，可叠加跨境支付结算产品。额度、期限待沟通。</w:t>
      </w:r>
    </w:p>
    <w:p>
      <w:pPr>
        <w:pStyle w:val="Heading3"/>
      </w:pPr>
      <w:r>
        <w:t>客户经理切入话术</w:t>
      </w:r>
    </w:p>
    <w:p>
      <w:r>
        <w:rPr>
          <w:rFonts w:ascii="华文楷体" w:hAnsi="华文楷体"/>
          <w:b w:val="0"/>
          <w:sz w:val="22"/>
        </w:rPr>
        <w:t>"王总，看到英百瑞6项新药申请同步获受理的消息，恭喜！这个阶段GMP车间和产业化资金需求应该是最大的，我们平安银行在生物医药产业化项目贷款方面有一些成熟方案，可以安排我们的产品经理跟您聊聊？"</w:t>
      </w:r>
    </w:p>
    <w:p>
      <w:pPr>
        <w:pStyle w:val="Heading3"/>
      </w:pPr>
      <w:r>
        <w:t>风险提示</w:t>
      </w:r>
    </w:p>
    <w:p>
      <w:r>
        <w:rPr>
          <w:rFonts w:ascii="华文楷体" w:hAnsi="华文楷体"/>
          <w:b w:val="0"/>
          <w:sz w:val="22"/>
        </w:rPr>
        <w:t>细胞治疗行业监管政策仍在演进，临床试验结果存在不确定性；核心团队背景及股权结构未完全公开；需结合征信、流水、合同及实地尽调确认。</w:t>
      </w:r>
    </w:p>
    <w:p>
      <w:pPr>
        <w:pStyle w:val="Heading2"/>
      </w:pPr>
      <w:r>
        <w:t>浙江英特集团股份有限公司</w:t>
      </w:r>
    </w:p>
    <w:p>
      <w:r>
        <w:rPr>
          <w:rFonts w:ascii="华文楷体" w:hAnsi="华文楷体"/>
          <w:b w:val="0"/>
          <w:sz w:val="22"/>
        </w:rPr>
        <w:t>推荐等级：高</w:t>
      </w:r>
    </w:p>
    <w:p>
      <w:r>
        <w:rPr>
          <w:rFonts w:ascii="华文楷体" w:hAnsi="华文楷体"/>
          <w:b w:val="0"/>
          <w:sz w:val="22"/>
        </w:rPr>
        <w:t>所属行业：医药商业/流通</w:t>
      </w:r>
    </w:p>
    <w:p>
      <w:r>
        <w:rPr>
          <w:rFonts w:ascii="华文楷体" w:hAnsi="华文楷体"/>
          <w:b w:val="0"/>
          <w:sz w:val="22"/>
        </w:rPr>
        <w:t>所在地区：杭州</w:t>
      </w:r>
    </w:p>
    <w:p>
      <w:r>
        <w:rPr>
          <w:rFonts w:ascii="华文楷体" w:hAnsi="华文楷体"/>
          <w:b w:val="0"/>
          <w:sz w:val="22"/>
        </w:rPr>
        <w:t>产业链位置：下游——医药流通与终端配送</w:t>
      </w:r>
    </w:p>
    <w:p>
      <w:r>
        <w:rPr>
          <w:rFonts w:ascii="华文楷体" w:hAnsi="华文楷体"/>
          <w:b w:val="0"/>
          <w:sz w:val="22"/>
        </w:rPr>
        <w:t>推荐方向：供应链金融 / 票据 / 现金管理 / 综合授信</w:t>
      </w:r>
    </w:p>
    <w:p>
      <w:pPr>
        <w:pStyle w:val="Heading3"/>
      </w:pPr>
      <w:r>
        <w:t>企业关键信息</w:t>
      </w:r>
    </w:p>
    <w:p>
      <w:r>
        <w:rPr>
          <w:rFonts w:ascii="华文楷体" w:hAnsi="华文楷体"/>
          <w:b w:val="0"/>
          <w:sz w:val="22"/>
        </w:rPr>
        <w:t>基本情况：浙江英特集团（SZ.000411）是浙江省国际贸易集团旗下的医药健康上市公司，主营业务为药品、中药、生物制品、医疗器械经营，是浙江省区域性医药流通重点企业，业务覆盖省内医疗机构终端。</w:t>
      </w:r>
    </w:p>
    <w:p>
      <w:r>
        <w:rPr>
          <w:rFonts w:ascii="华文楷体" w:hAnsi="华文楷体"/>
          <w:b w:val="0"/>
          <w:sz w:val="22"/>
        </w:rPr>
        <w:t>高层与团队背景：作为省属国企旗下上市公司，管理团队具备医药流通行业丰富经验，背靠浙江省国际贸易集团，股东资源和政企关系优势明显。</w:t>
      </w:r>
    </w:p>
    <w:p>
      <w:r>
        <w:rPr>
          <w:rFonts w:ascii="华文楷体" w:hAnsi="华文楷体"/>
          <w:b w:val="0"/>
          <w:sz w:val="22"/>
        </w:rPr>
        <w:t>银行关注点：医药流通企业面对医院端应收账款周期长、资金占用大，供应链金融需求明确；医保监管趋严背景下，大型流通企业的合规能力和资金管理能力将成为核心竞争力。</w:t>
      </w:r>
    </w:p>
    <w:p>
      <w:pPr>
        <w:pStyle w:val="Heading3"/>
      </w:pPr>
      <w:r>
        <w:t>推荐理由</w:t>
      </w:r>
    </w:p>
    <w:p>
      <w:r>
        <w:rPr>
          <w:rFonts w:ascii="华文楷体" w:hAnsi="华文楷体"/>
          <w:b w:val="0"/>
          <w:sz w:val="22"/>
        </w:rPr>
        <w:t>• 浙江省医药流通龙头企业，区域市占率高，终端网络覆盖广</w:t>
      </w:r>
    </w:p>
    <w:p>
      <w:r>
        <w:rPr>
          <w:rFonts w:ascii="华文楷体" w:hAnsi="华文楷体"/>
          <w:b w:val="0"/>
          <w:sz w:val="22"/>
        </w:rPr>
        <w:t>• 面对医疗机构的应收账款周期较长，天然适合供应链金融产品</w:t>
      </w:r>
    </w:p>
    <w:p>
      <w:r>
        <w:rPr>
          <w:rFonts w:ascii="华文楷体" w:hAnsi="华文楷体"/>
          <w:b w:val="0"/>
          <w:sz w:val="22"/>
        </w:rPr>
        <w:t>• 省属国企背景，信用资质优良，银行风险相对可控</w:t>
      </w:r>
    </w:p>
    <w:p>
      <w:r>
        <w:rPr>
          <w:rFonts w:ascii="华文楷体" w:hAnsi="华文楷体"/>
          <w:b w:val="0"/>
          <w:sz w:val="22"/>
        </w:rPr>
        <w:t>• 医保监管五年计划将加速行业整合，龙头企业有望进一步扩容</w:t>
      </w:r>
    </w:p>
    <w:p>
      <w:pPr>
        <w:pStyle w:val="Heading3"/>
      </w:pPr>
      <w:r>
        <w:t>银行展业机会</w:t>
      </w:r>
    </w:p>
    <w:p>
      <w:r>
        <w:rPr>
          <w:rFonts w:ascii="华文楷体" w:hAnsi="华文楷体"/>
          <w:b w:val="0"/>
          <w:sz w:val="22"/>
        </w:rPr>
        <w:t>• 医院端应收账款融资 → 付融通、保理、商票保贴、商票e贴</w:t>
      </w:r>
    </w:p>
    <w:p>
      <w:r>
        <w:rPr>
          <w:rFonts w:ascii="华文楷体" w:hAnsi="华文楷体"/>
          <w:b w:val="0"/>
          <w:sz w:val="22"/>
        </w:rPr>
        <w:t>• 向上游药企采购资金周转 → 国内信用证开证及融资、订单融资</w:t>
      </w:r>
    </w:p>
    <w:p>
      <w:r>
        <w:rPr>
          <w:rFonts w:ascii="华文楷体" w:hAnsi="华文楷体"/>
          <w:b w:val="0"/>
          <w:sz w:val="22"/>
        </w:rPr>
        <w:t>• 资金账户统筹管理 → 数字财资、资产池、慧收款</w:t>
      </w:r>
    </w:p>
    <w:p>
      <w:r>
        <w:rPr>
          <w:rFonts w:ascii="华文楷体" w:hAnsi="华文楷体"/>
          <w:b w:val="0"/>
          <w:sz w:val="22"/>
        </w:rPr>
        <w:t>• 员工规模较大 → 平安薪（代发工资）</w:t>
      </w:r>
    </w:p>
    <w:p>
      <w:pPr>
        <w:pStyle w:val="Heading3"/>
      </w:pPr>
      <w:r>
        <w:t>推荐产品组合</w:t>
      </w:r>
    </w:p>
    <w:p>
      <w:r>
        <w:rPr>
          <w:rFonts w:ascii="华文楷体" w:hAnsi="华文楷体"/>
          <w:b w:val="0"/>
          <w:sz w:val="22"/>
        </w:rPr>
        <w:t>建议以付融通/保理切入，解决企业对医院端应收账款的资金占用问题；配套使用数字财资+资产池实现多账户资金统筹和流动性管理；如上游采购需要信用支持，可叠加国内信用证产品。额度、期限待沟通。</w:t>
      </w:r>
    </w:p>
    <w:p>
      <w:pPr>
        <w:pStyle w:val="Heading3"/>
      </w:pPr>
      <w:r>
        <w:t>客户经理切入话术</w:t>
      </w:r>
    </w:p>
    <w:p>
      <w:r>
        <w:rPr>
          <w:rFonts w:ascii="华文楷体" w:hAnsi="华文楷体"/>
          <w:b w:val="0"/>
          <w:sz w:val="22"/>
        </w:rPr>
        <w:t>"李总，英特作为省内医药流通龙头，面对医院客户的账期压力应该不小。我们平安的付融通和保理方案在医药流通行业有不少成功案例，可以帮助您加速回款、减少资金占用，方便约个时间详细介绍一下？"</w:t>
      </w:r>
    </w:p>
    <w:p>
      <w:pPr>
        <w:pStyle w:val="Heading3"/>
      </w:pPr>
      <w:r>
        <w:t>风险提示</w:t>
      </w:r>
    </w:p>
    <w:p>
      <w:r>
        <w:rPr>
          <w:rFonts w:ascii="华文楷体" w:hAnsi="华文楷体"/>
          <w:b w:val="0"/>
          <w:sz w:val="22"/>
        </w:rPr>
        <w:t>医药流通行业利润率较薄，应收账款回收存在个别医疗机构逾期风险；医保控费持续压缩流通环节利润空间；需结合财报、征信、应收账款账龄结构确认。</w:t>
      </w:r>
    </w:p>
    <w:p>
      <w:pPr>
        <w:pStyle w:val="Heading2"/>
      </w:pPr>
      <w:r>
        <w:t>浙江美华鼎昌医药科技有限公司</w:t>
      </w:r>
    </w:p>
    <w:p>
      <w:r>
        <w:rPr>
          <w:rFonts w:ascii="华文楷体" w:hAnsi="华文楷体"/>
          <w:b w:val="0"/>
          <w:sz w:val="22"/>
        </w:rPr>
        <w:t>推荐等级：中</w:t>
      </w:r>
    </w:p>
    <w:p>
      <w:r>
        <w:rPr>
          <w:rFonts w:ascii="华文楷体" w:hAnsi="华文楷体"/>
          <w:b w:val="0"/>
          <w:sz w:val="22"/>
        </w:rPr>
        <w:t>所属行业：新型生物医药制剂/器械</w:t>
      </w:r>
    </w:p>
    <w:p>
      <w:r>
        <w:rPr>
          <w:rFonts w:ascii="华文楷体" w:hAnsi="华文楷体"/>
          <w:b w:val="0"/>
          <w:sz w:val="22"/>
        </w:rPr>
        <w:t>所在地区：浙江（待核实具体城市）</w:t>
      </w:r>
    </w:p>
    <w:p>
      <w:r>
        <w:rPr>
          <w:rFonts w:ascii="华文楷体" w:hAnsi="华文楷体"/>
          <w:b w:val="0"/>
          <w:sz w:val="22"/>
        </w:rPr>
        <w:t>产业链位置：中游——新型制剂与器械产品研发</w:t>
      </w:r>
    </w:p>
    <w:p>
      <w:r>
        <w:rPr>
          <w:rFonts w:ascii="华文楷体" w:hAnsi="华文楷体"/>
          <w:b w:val="0"/>
          <w:sz w:val="22"/>
        </w:rPr>
        <w:t>推荐方向：科创贷 / 设备融资 / 供应链金融</w:t>
      </w:r>
    </w:p>
    <w:p>
      <w:pPr>
        <w:pStyle w:val="Heading3"/>
      </w:pPr>
      <w:r>
        <w:t>企业关键信息</w:t>
      </w:r>
    </w:p>
    <w:p>
      <w:r>
        <w:rPr>
          <w:rFonts w:ascii="华文楷体" w:hAnsi="华文楷体"/>
          <w:b w:val="0"/>
          <w:sz w:val="22"/>
        </w:rPr>
        <w:t>基本情况：美华鼎昌专注于新型生物医药制剂和器械产品的研发及产业化，由海归博士团队创建，创业团队在全球先进制剂技术和器材领域有技术积累。</w:t>
      </w:r>
    </w:p>
    <w:p>
      <w:r>
        <w:rPr>
          <w:rFonts w:ascii="华文楷体" w:hAnsi="华文楷体"/>
          <w:b w:val="0"/>
          <w:sz w:val="22"/>
        </w:rPr>
        <w:t>高层与团队背景：海归博士团队创建，具备国际化技术视野和先进制剂技术/器材研发能力。</w:t>
      </w:r>
    </w:p>
    <w:p>
      <w:r>
        <w:rPr>
          <w:rFonts w:ascii="华文楷体" w:hAnsi="华文楷体"/>
          <w:b w:val="0"/>
          <w:sz w:val="22"/>
        </w:rPr>
        <w:t>银行关注点：海归创业团队意味着技术壁垒可能较高，但产业化初期的资金需求较大，适合科创类金融产品切入。</w:t>
      </w:r>
    </w:p>
    <w:p>
      <w:pPr>
        <w:pStyle w:val="Heading3"/>
      </w:pPr>
      <w:r>
        <w:t>推荐理由</w:t>
      </w:r>
    </w:p>
    <w:p>
      <w:r>
        <w:rPr>
          <w:rFonts w:ascii="华文楷体" w:hAnsi="华文楷体"/>
          <w:b w:val="0"/>
          <w:sz w:val="22"/>
        </w:rPr>
        <w:t>• 海归博士团队创建，技术壁垒较高，符合浙江对高层次人才创业项目的支持方向</w:t>
      </w:r>
    </w:p>
    <w:p>
      <w:r>
        <w:rPr>
          <w:rFonts w:ascii="华文楷体" w:hAnsi="华文楷体"/>
          <w:b w:val="0"/>
          <w:sz w:val="22"/>
        </w:rPr>
        <w:t>• 聚焦新型制剂和器械两个高成长赛道，产品管线具备商业化潜力</w:t>
      </w:r>
    </w:p>
    <w:p>
      <w:r>
        <w:rPr>
          <w:rFonts w:ascii="华文楷体" w:hAnsi="华文楷体"/>
          <w:b w:val="0"/>
          <w:sz w:val="22"/>
        </w:rPr>
        <w:t>• 处于研发向产业化过渡阶段，金融需求明确</w:t>
      </w:r>
    </w:p>
    <w:p>
      <w:pPr>
        <w:pStyle w:val="Heading3"/>
      </w:pPr>
      <w:r>
        <w:t>银行展业机会</w:t>
      </w:r>
    </w:p>
    <w:p>
      <w:r>
        <w:rPr>
          <w:rFonts w:ascii="华文楷体" w:hAnsi="华文楷体"/>
          <w:b w:val="0"/>
          <w:sz w:val="22"/>
        </w:rPr>
        <w:t>• 研发及产业化资金 → 普惠金融科创贷、设备融资</w:t>
      </w:r>
    </w:p>
    <w:p>
      <w:r>
        <w:rPr>
          <w:rFonts w:ascii="华文楷体" w:hAnsi="华文楷体"/>
          <w:b w:val="0"/>
          <w:sz w:val="22"/>
        </w:rPr>
        <w:t>• 海外技术引进/国际合作 → 跨境支付结算</w:t>
      </w:r>
    </w:p>
    <w:p>
      <w:r>
        <w:rPr>
          <w:rFonts w:ascii="华文楷体" w:hAnsi="华文楷体"/>
          <w:b w:val="0"/>
          <w:sz w:val="22"/>
        </w:rPr>
        <w:t>• 运营管理 → 数字财资、平安薪</w:t>
      </w:r>
    </w:p>
    <w:p>
      <w:pPr>
        <w:pStyle w:val="Heading3"/>
      </w:pPr>
      <w:r>
        <w:t>推荐产品组合</w:t>
      </w:r>
    </w:p>
    <w:p>
      <w:r>
        <w:rPr>
          <w:rFonts w:ascii="华文楷体" w:hAnsi="华文楷体"/>
          <w:b w:val="0"/>
          <w:sz w:val="22"/>
        </w:rPr>
        <w:t>建议以普惠金融科创贷切入，匹配企业研发和产业化的资金需求；配套使用设备融资用于研发设备和中试产线采购。额度和期限待沟通。</w:t>
      </w:r>
    </w:p>
    <w:p>
      <w:pPr>
        <w:pStyle w:val="Heading3"/>
      </w:pPr>
      <w:r>
        <w:t>客户经理切入话术</w:t>
      </w:r>
    </w:p>
    <w:p>
      <w:r>
        <w:rPr>
          <w:rFonts w:ascii="华文楷体" w:hAnsi="华文楷体"/>
          <w:b w:val="0"/>
          <w:sz w:val="22"/>
        </w:rPr>
        <w:t>"张总，了解到美华鼎昌在新型制剂领域有很好的技术积累，海归团队的背景我们非常认可。平安银行在科创企业金融服务方面有专项方案，可以聊聊怎么匹配您们目前的研发和产业化需求？"</w:t>
      </w:r>
    </w:p>
    <w:p>
      <w:pPr>
        <w:pStyle w:val="Heading3"/>
      </w:pPr>
      <w:r>
        <w:t>风险提示</w:t>
      </w:r>
    </w:p>
    <w:p>
      <w:r>
        <w:rPr>
          <w:rFonts w:ascii="华文楷体" w:hAnsi="华文楷体"/>
          <w:b w:val="0"/>
          <w:sz w:val="22"/>
        </w:rPr>
        <w:t>产业化阶段早期，现金流和收入规模有待验证；海归团队创业的企业治理结构和股权安排需重点关注；需结合尽调确认技术商业化进度和资金需求。</w:t>
      </w:r>
    </w:p>
    <w:p>
      <w:pPr>
        <w:pStyle w:val="Heading1"/>
      </w:pPr>
      <w:r>
        <w:t>四、客户经理行动建议</w:t>
      </w:r>
    </w:p>
    <w:p>
      <w:r>
        <w:rPr>
          <w:rFonts w:ascii="华文楷体" w:hAnsi="华文楷体"/>
          <w:b w:val="0"/>
          <w:sz w:val="22"/>
        </w:rPr>
        <w:t>1. 优先拜访英百瑞：以6项新药同步受理为切入点，主动对接其GMP车间建设和产业化资金需求，推荐项目贷款+科创贷组合方案。</w:t>
      </w:r>
    </w:p>
    <w:p>
      <w:r>
        <w:rPr>
          <w:rFonts w:ascii="华文楷体" w:hAnsi="华文楷体"/>
          <w:b w:val="0"/>
          <w:sz w:val="22"/>
        </w:rPr>
        <w:t>2. 对接英特集团供应链金融：针对其对医院端应收账款，主推付融通/保理方案，同时争取数字财资和代发业务合作。</w:t>
      </w:r>
    </w:p>
    <w:p>
      <w:r>
        <w:rPr>
          <w:rFonts w:ascii="华文楷体" w:hAnsi="华文楷体"/>
          <w:b w:val="0"/>
          <w:sz w:val="22"/>
        </w:rPr>
        <w:t>3. 扫客杭州医药港CGT赛道企业：以英百瑞为标杆，梳理医药港内细胞治疗、基因治疗企业名单，批量拜访处于临床中后期、有产业化需求的企业。</w:t>
      </w:r>
    </w:p>
    <w:p>
      <w:r>
        <w:rPr>
          <w:rFonts w:ascii="华文楷体" w:hAnsi="华文楷体"/>
          <w:b w:val="0"/>
          <w:sz w:val="22"/>
        </w:rPr>
        <w:t>4. 关注台州原料药企业合成生物转型：对接台州地区原料药企业，了解其向合成生物和高附加值制剂转型的计划，匹配技改贷款和设备融资方案。</w:t>
      </w:r>
    </w:p>
    <w:p>
      <w:r>
        <w:rPr>
          <w:rFonts w:ascii="华文楷体" w:hAnsi="华文楷体"/>
          <w:b w:val="0"/>
          <w:sz w:val="22"/>
        </w:rPr>
        <w:t>5. 跟踪温州生物医药产业大会：关注2026年温州生物医药产业大会的参会企业名单和招商项目，提前对接有融资需求的本地企业。</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华文楷体" w:hAnsi="华文楷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