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华文楷体" w:hAnsi="华文楷体" w:eastAsia="华文楷体"/>
          <w:sz w:val="28"/>
        </w:rPr>
        <w:t>互联网行业商机周报</w:t>
      </w:r>
    </w:p>
    <w:p>
      <w:r>
        <w:rPr>
          <w:rFonts w:ascii="华文楷体" w:hAnsi="华文楷体" w:eastAsia="华文楷体"/>
          <w:sz w:val="22"/>
        </w:rPr>
        <w:t>覆盖周期： 2026.05.19-05.25</w:t>
      </w:r>
    </w:p>
    <w:p>
      <w:r>
        <w:rPr>
          <w:rFonts w:ascii="华文楷体" w:hAnsi="华文楷体" w:eastAsia="华文楷体"/>
          <w:sz w:val="22"/>
        </w:rPr>
        <w:t>资料来源： 新华网科技、36氪快讯、财联社电报、央视网、人民网/中新网、21财经/证券时报、虎嗅/极客公园、iFinD公告语义检索、企业官网及公开披露资料等。iFinD热点事件接口返回403无权限，本期以公告语义检索替代。</w:t>
      </w:r>
    </w:p>
    <w:p>
      <w:r>
        <w:rPr>
          <w:rFonts w:ascii="华文楷体" w:hAnsi="华文楷体" w:eastAsia="华文楷体"/>
          <w:sz w:val="22"/>
        </w:rPr>
        <w:t>产品口径： 产品匹配基于本地产品库：数字财资、资产池、慧收款、平安结算通、产业结算通、短贷（平安透/网上自由贷）、普惠金融科创贷、普惠金融信用贷、订单融资、付融通、商票保贴/商票e贴、跨境支付结算、跨境资金管理、平安避险、人民币国际证+福费廷、平安薪、平安租赁、科技创新和技术更新改造再贷款等。额度、期限、费率和准入条件如产品库未明确则均为待沟通。</w:t>
      </w:r>
    </w:p>
    <w:p>
      <w:r>
        <w:rPr>
          <w:rFonts w:ascii="华文楷体" w:hAnsi="华文楷体" w:eastAsia="华文楷体"/>
          <w:sz w:val="22"/>
        </w:rPr>
        <w:t>#一、行业动态与发展总结</w:t>
      </w:r>
    </w:p>
    <w:p>
      <w:r>
        <w:rPr>
          <w:rFonts w:ascii="华文楷体" w:hAnsi="华文楷体" w:eastAsia="华文楷体"/>
          <w:sz w:val="22"/>
        </w:rPr>
        <w:t>##1. 近期政策变动</w:t>
      </w:r>
    </w:p>
    <w:p>
      <w:r>
        <w:rPr>
          <w:rFonts w:ascii="华文楷体" w:hAnsi="华文楷体" w:eastAsia="华文楷体"/>
          <w:sz w:val="22"/>
        </w:rPr>
        <w:t>国家层面本周最重要的政策信号有三类。第一，《人工智能终端智能化分级》系列国家标准已发布，围绕手机、电脑、眼镜、电视、耳机等终端建立L1-L4能力分级和测试方法，解决AI终端能力表述混乱、宣传口径不一的问题。对互联网企业而言，这会推动AI硬件、AI应用和系统级智能体从概念营销转向可测评、可采购、可验收。</w:t>
      </w:r>
    </w:p>
    <w:p>
      <w:r>
        <w:rPr>
          <w:rFonts w:ascii="华文楷体" w:hAnsi="华文楷体" w:eastAsia="华文楷体"/>
          <w:sz w:val="22"/>
        </w:rPr>
        <w:t>第二，数据要素和数字经济制度继续强化。国家数据局围绕数据资源统计、数据产权登记、数据基础设施和数据流通制度推进工作，核心方向是让企业数据从“内部资产”转向可治理、可计量、可交易、可融资的经营资源。互联网平台、SaaS企业和AI应用公司会更重视数据治理、合规授权、数据产品化和安全审计。</w:t>
      </w:r>
    </w:p>
    <w:p>
      <w:r>
        <w:rPr>
          <w:rFonts w:ascii="华文楷体" w:hAnsi="华文楷体" w:eastAsia="华文楷体"/>
          <w:sz w:val="22"/>
        </w:rPr>
        <w:t>第三，AI拟人化互动、算法治理、个人信息保护和跨境数据流动仍是监管重点。AI客服、AI陪伴、AI营销、AI教育和内容平台需要提前处理模型输出、用户授权、未成年人保护、内容审核和数据出境问题。</w:t>
      </w:r>
    </w:p>
    <w:p>
      <w:r>
        <w:rPr>
          <w:rFonts w:ascii="华文楷体" w:hAnsi="华文楷体" w:eastAsia="华文楷体"/>
          <w:sz w:val="22"/>
        </w:rPr>
        <w:t>综合影响闭环：政策正在把AI行业从“模型能力竞赛”推向“可分级、可交易、可监管、可落地”的商业化阶段。企业经营含义是研发投入、合规投入、算力和数据治理成本同步增加；金融需求会体现为研发流动资金、算力与云资源预付、政企项目回款、数据安全建设和平台结算；银行可优先用科创贷、短贷、数字财资、付融通、商票e贴、平安结算通和跨境结算切入。</w:t>
      </w:r>
    </w:p>
    <w:p>
      <w:r>
        <w:rPr>
          <w:rFonts w:ascii="华文楷体" w:hAnsi="华文楷体" w:eastAsia="华文楷体"/>
          <w:sz w:val="22"/>
        </w:rPr>
        <w:t>##2. 政府规划与产业方向</w:t>
      </w:r>
    </w:p>
    <w:p>
      <w:r>
        <w:rPr>
          <w:rFonts w:ascii="华文楷体" w:hAnsi="华文楷体" w:eastAsia="华文楷体"/>
          <w:sz w:val="22"/>
        </w:rPr>
        <w:t>国家层面继续将人工智能、数字经济、算力网络、数据要素和数字贸易作为新质生产力主线。算力基础设施从单点智算中心向全国一体化算力网、Token套餐和模型服务平台演进，推动AI能力像通信流量一样被计量、打包和销售。</w:t>
      </w:r>
    </w:p>
    <w:p>
      <w:r>
        <w:rPr>
          <w:rFonts w:ascii="华文楷体" w:hAnsi="华文楷体" w:eastAsia="华文楷体"/>
          <w:sz w:val="22"/>
        </w:rPr>
        <w:t>对互联网企业来说，未来产业规划不只利好模型厂商，也利好三类企业：一是掌握算力、云和数据基础设施的平台；二是能把AI嵌入营销、客服、办公、设计、游戏、电商和制造场景的AI SaaS；三是能围绕跨境电商、App出海、游戏出海和数字贸易提供支付、合规、营销与供应链服务的企业。</w:t>
      </w:r>
    </w:p>
    <w:p>
      <w:r>
        <w:rPr>
          <w:rFonts w:ascii="华文楷体" w:hAnsi="华文楷体" w:eastAsia="华文楷体"/>
          <w:sz w:val="22"/>
        </w:rPr>
        <w:t>##3. AI时代互联网行业发展趋势</w:t>
      </w:r>
    </w:p>
    <w:p>
      <w:r>
        <w:rPr>
          <w:rFonts w:ascii="华文楷体" w:hAnsi="华文楷体" w:eastAsia="华文楷体"/>
          <w:sz w:val="22"/>
        </w:rPr>
        <w:t>行业处于“总量上行、结构分化、价值验证”的阶段。AI基础设施和刚需场景上行，缺少商业闭环的纯概念应用承压；SaaS公司正在从卖席位转向卖智能工作流，广告营销从人工投放转向实时算法决策，游戏和内容生产从工具辅助走向部分流程自动化，电商和跨境平台则更关注AI客服、选品、投放和履约效率。</w:t>
      </w:r>
    </w:p>
    <w:p>
      <w:r>
        <w:rPr>
          <w:rFonts w:ascii="华文楷体" w:hAnsi="华文楷体" w:eastAsia="华文楷体"/>
          <w:sz w:val="22"/>
        </w:rPr>
        <w:t>更值得银行关注的企业类型包括：有真实Token消耗和付费客户的模型/API平台，有订阅收入和行业数据的AI SaaS，有平台交易流水的电商和产业互联网企业，有海外收入和多币种收付的出海工具公司，以及具备链主地位、能带动供应商和服务商的云平台、游戏平台、机器人平台。</w:t>
      </w:r>
    </w:p>
    <w:p>
      <w:r>
        <w:rPr>
          <w:rFonts w:ascii="华文楷体" w:hAnsi="华文楷体" w:eastAsia="华文楷体"/>
          <w:sz w:val="22"/>
        </w:rPr>
        <w:t>风险也更清晰：模型成本下降可能压缩软件定价，Token价格波动影响毛利率，数据和内容合规影响产品上线，海外平台政策影响出海收入，AI产品商业化不及预期会导致研发费用和现金流压力。</w:t>
      </w:r>
    </w:p>
    <w:p>
      <w:r>
        <w:rPr>
          <w:rFonts w:ascii="华文楷体" w:hAnsi="华文楷体" w:eastAsia="华文楷体"/>
          <w:sz w:val="22"/>
        </w:rPr>
        <w:t>##4. AI Token消费生态链与上下游动态</w:t>
      </w:r>
    </w:p>
    <w:p>
      <w:r>
        <w:rPr>
          <w:rFonts w:ascii="华文楷体" w:hAnsi="华文楷体" w:eastAsia="华文楷体"/>
          <w:sz w:val="22"/>
        </w:rPr>
        <w:t>本周最强信号是三大运营商试水Token套餐，运营商从“卖流量”转向“卖算力”，把Token、网络连接和安全能力打包销售。中国电信推出全国性Token试商用套餐，中国移动和中国联通也围绕Token运营体系、AI云桌面和智能体平台布局。</w:t>
      </w:r>
    </w:p>
    <w:p>
      <w:r>
        <w:rPr>
          <w:rFonts w:ascii="华文楷体" w:hAnsi="华文楷体" w:eastAsia="华文楷体"/>
          <w:sz w:val="22"/>
        </w:rPr>
        <w:t>上游看，IDC、GPU、AI服务器、光模块、云资源和液冷仍是资本开支重点；中游看，MaaS平台、模型API、Agent开发平台、数据治理和模型安全会受益；下游看，AI办公、AI营销、AI游戏、AI设计、AI客服和跨境AI工具是Token消耗增长最快的场景。</w:t>
      </w:r>
    </w:p>
    <w:p>
      <w:r>
        <w:rPr>
          <w:rFonts w:ascii="华文楷体" w:hAnsi="华文楷体" w:eastAsia="华文楷体"/>
          <w:sz w:val="22"/>
        </w:rPr>
        <w:t>金融需求传导很直接：Token调用量上升会带来云资源预付、算力包采购、API成本垫付、研发人员扩张和客户账期拉长。适合的银行切入口是短贷、科创贷、资产池、数字财资、订单融资、付融通、商票保贴/商票e贴、平台结算和跨境结算。</w:t>
      </w:r>
    </w:p>
    <w:p>
      <w:r>
        <w:rPr>
          <w:rFonts w:ascii="华文楷体" w:hAnsi="华文楷体" w:eastAsia="华文楷体"/>
          <w:sz w:val="22"/>
        </w:rPr>
        <w:t>#二、浙江地区动态与区域机会</w:t>
      </w:r>
    </w:p>
    <w:p>
      <w:r>
        <w:rPr>
          <w:rFonts w:ascii="华文楷体" w:hAnsi="华文楷体" w:eastAsia="华文楷体"/>
          <w:sz w:val="22"/>
        </w:rPr>
        <w:t>##1. 浙江政策与政府规划</w:t>
      </w:r>
    </w:p>
    <w:p>
      <w:r>
        <w:rPr>
          <w:rFonts w:ascii="华文楷体" w:hAnsi="华文楷体" w:eastAsia="华文楷体"/>
          <w:sz w:val="22"/>
        </w:rPr>
        <w:t>杭州本周明确把“人工智能创新发展第一城”放在“十五五”谋划的核心位置，提出围绕AI工厂、行业大模型、工业智能体平台和“296X”先进制造业集群推进人工智能与制造业融合。杭州还在词元经济、开源基础模型、具身智能、数据要素和未来产业上持续加码。</w:t>
      </w:r>
    </w:p>
    <w:p>
      <w:r>
        <w:rPr>
          <w:rFonts w:ascii="华文楷体" w:hAnsi="华文楷体" w:eastAsia="华文楷体"/>
          <w:sz w:val="22"/>
        </w:rPr>
        <w:t>浙江省层面，数字经济、数字贸易、跨境电商、软件信息服务和“415X”先进制造业集群仍是核心产业底盘。对银行来说，政策不是泛泛利好，而是带来四类可营销场景：AI企业研发和算力投入需要科创融资；制造业AI化项目带来设备更新、订单融资和供应链金融；跨境电商和数字贸易带来跨境结算、避险和外币存款；平台型企业带来商户、开发者和服务商的批量结算与融资。</w:t>
      </w:r>
    </w:p>
    <w:p>
      <w:r>
        <w:rPr>
          <w:rFonts w:ascii="华文楷体" w:hAnsi="华文楷体" w:eastAsia="华文楷体"/>
          <w:sz w:val="22"/>
        </w:rPr>
        <w:t>##2. 浙江重点产业与区域机会</w:t>
      </w:r>
    </w:p>
    <w:p>
      <w:r>
        <w:rPr>
          <w:rFonts w:ascii="华文楷体" w:hAnsi="华文楷体" w:eastAsia="华文楷体"/>
          <w:sz w:val="22"/>
        </w:rPr>
        <w:t>杭州仍是浙江互联网和AI机会最集中的城市：大模型与开源生态看DeepSeek、阿里云，空间智能和AI SaaS看群核科技，具身智能看宇树科技和云深处，游戏内容看网易杭州、游戏科学和极逸人工智能，跨境与平台服务看电商、支付、物流和数字营销生态。</w:t>
      </w:r>
    </w:p>
    <w:p>
      <w:r>
        <w:rPr>
          <w:rFonts w:ascii="华文楷体" w:hAnsi="华文楷体" w:eastAsia="华文楷体"/>
          <w:sz w:val="22"/>
        </w:rPr>
        <w:t>滨江、余杭、萧山、西湖和钱塘值得客户经理重点扫客。滨江适合看具身智能、物联网和上市科技企业；余杭适合看阿里生态、云服务和平台商户；西湖与艺创小镇适合看游戏、内容和设计软件；萧山适合看超级个体、跨境电商和产业带数字化；宁波、义乌、温州适合沿跨境电商、外贸SaaS和支付结算拓展。</w:t>
      </w:r>
    </w:p>
    <w:p>
      <w:r>
        <w:rPr>
          <w:rFonts w:ascii="华文楷体" w:hAnsi="华文楷体" w:eastAsia="华文楷体"/>
          <w:sz w:val="22"/>
        </w:rPr>
        <w:t>##3. 浙江AI Token消费生态链与上下游动态</w:t>
      </w:r>
    </w:p>
    <w:p>
      <w:r>
        <w:rPr>
          <w:rFonts w:ascii="华文楷体" w:hAnsi="华文楷体" w:eastAsia="华文楷体"/>
          <w:sz w:val="22"/>
        </w:rPr>
        <w:t>浙江本地AI Token消费生态链具备“模型平台+云服务+应用场景+外贸产业带”的组合优势。上游有阿里云、运营商智算和机器人硬件供应链；中游有DeepSeek、群核科技、涂鸦智能、数据服务和AI SaaS企业；下游有电商、直播、游戏、跨境电商、内容营销、教育医疗和制造业AI应用。</w:t>
      </w:r>
    </w:p>
    <w:p>
      <w:r>
        <w:rPr>
          <w:rFonts w:ascii="华文楷体" w:hAnsi="华文楷体" w:eastAsia="华文楷体"/>
          <w:sz w:val="22"/>
        </w:rPr>
        <w:t>最容易形成金融需求的环节包括：模型企业的算力和API成本，AI SaaS企业的云渲染和订阅回款，具身智能企业的零部件采购和订单履约，游戏/内容企业的海外发行和广告投放，跨境电商服务商的多币种收付和汇率避险。</w:t>
      </w:r>
    </w:p>
    <w:p>
      <w:r>
        <w:rPr>
          <w:rFonts w:ascii="华文楷体" w:hAnsi="华文楷体" w:eastAsia="华文楷体"/>
          <w:sz w:val="22"/>
        </w:rPr>
        <w:t>##4. 银行展业机会</w:t>
      </w:r>
    </w:p>
    <w:p>
      <w:pPr>
        <w:pStyle w:val="Heading2"/>
      </w:pPr>
      <w:r>
        <w:rPr>
          <w:rFonts w:ascii="华文楷体" w:hAnsi="华文楷体" w:eastAsia="华文楷体"/>
          <w:sz w:val="28"/>
        </w:rPr>
        <w:t>1. 杭州大模型和AI SaaS企业：以科创贷、短贷、数字财资切入研发投入、云资源预付和Token调用成本。</w:t>
      </w:r>
    </w:p>
    <w:p>
      <w:pPr>
        <w:pStyle w:val="Heading2"/>
      </w:pPr>
      <w:r>
        <w:rPr>
          <w:rFonts w:ascii="华文楷体" w:hAnsi="华文楷体" w:eastAsia="华文楷体"/>
          <w:sz w:val="28"/>
        </w:rPr>
        <w:t>2. 阿里云及本地云生态服务商：以产业结算通、平安结算通、资产池、商票e贴和平台数字贷切入ISV、开发者和供应商生态。</w:t>
      </w:r>
    </w:p>
    <w:p>
      <w:pPr>
        <w:pStyle w:val="Heading2"/>
      </w:pPr>
      <w:r>
        <w:rPr>
          <w:rFonts w:ascii="华文楷体" w:hAnsi="华文楷体" w:eastAsia="华文楷体"/>
          <w:sz w:val="28"/>
        </w:rPr>
        <w:t>3. 具身智能和机器人企业：以科技创新和技术更新改造再贷款、平安租赁、订单融资、付融通切入设备、零部件和订单交付。</w:t>
      </w:r>
    </w:p>
    <w:p>
      <w:pPr>
        <w:pStyle w:val="Heading2"/>
      </w:pPr>
      <w:r>
        <w:rPr>
          <w:rFonts w:ascii="华文楷体" w:hAnsi="华文楷体" w:eastAsia="华文楷体"/>
          <w:sz w:val="28"/>
        </w:rPr>
        <w:t>4. 游戏、内容和AI营销企业：以慧收款、数字财资、平安薪和跨境结算切入项目回款、广告投放、员工代发和海外收入。</w:t>
      </w:r>
    </w:p>
    <w:p>
      <w:pPr>
        <w:pStyle w:val="Heading2"/>
      </w:pPr>
      <w:r>
        <w:rPr>
          <w:rFonts w:ascii="华文楷体" w:hAnsi="华文楷体" w:eastAsia="华文楷体"/>
          <w:sz w:val="28"/>
        </w:rPr>
        <w:t>5. 跨境电商和AI工具出海企业：以跨境支付结算、跨境资金管理、外币存款、人民币国际证+福费廷和平安避险切入收款、结汇、融资和汇率管理。</w:t>
      </w:r>
    </w:p>
    <w:p>
      <w:r>
        <w:rPr>
          <w:rFonts w:ascii="华文楷体" w:hAnsi="华文楷体" w:eastAsia="华文楷体"/>
          <w:sz w:val="22"/>
        </w:rPr>
        <w:t>#三、重点企业推荐</w:t>
      </w:r>
    </w:p>
    <w:p>
      <w:r>
        <w:rPr>
          <w:rFonts w:ascii="华文楷体" w:hAnsi="华文楷体" w:eastAsia="华文楷体"/>
          <w:sz w:val="22"/>
        </w:rPr>
        <w:t>##企业名称:杭州深度求索人工智能基础技术研究有限公司（DeepSeek）</w:t>
      </w:r>
    </w:p>
    <w:p>
      <w:r>
        <w:rPr>
          <w:rFonts w:ascii="华文楷体" w:hAnsi="华文楷体" w:eastAsia="华文楷体"/>
          <w:sz w:val="22"/>
        </w:rPr>
        <w:t>• 推荐等级： 高</w:t>
      </w:r>
    </w:p>
    <w:p>
      <w:r>
        <w:rPr>
          <w:rFonts w:ascii="华文楷体" w:hAnsi="华文楷体" w:eastAsia="华文楷体"/>
          <w:sz w:val="22"/>
        </w:rPr>
        <w:t>• 所属赛道： 大模型 / 开源生态 / AI Token消费</w:t>
      </w:r>
    </w:p>
    <w:p>
      <w:r>
        <w:rPr>
          <w:rFonts w:ascii="华文楷体" w:hAnsi="华文楷体" w:eastAsia="华文楷体"/>
          <w:sz w:val="22"/>
        </w:rPr>
        <w:t>• 所在地区： 杭州</w:t>
      </w:r>
    </w:p>
    <w:p>
      <w:r>
        <w:rPr>
          <w:rFonts w:ascii="华文楷体" w:hAnsi="华文楷体" w:eastAsia="华文楷体"/>
          <w:sz w:val="22"/>
        </w:rPr>
        <w:t>• 产业链位置： 中游模型与平台</w:t>
      </w:r>
    </w:p>
    <w:p>
      <w:r>
        <w:rPr>
          <w:rFonts w:ascii="华文楷体" w:hAnsi="华文楷体" w:eastAsia="华文楷体"/>
          <w:sz w:val="22"/>
        </w:rPr>
        <w:t>• 推荐方向： 科创融资 / 流动资金 / 现金管理 / 代发</w:t>
      </w:r>
    </w:p>
    <w:p>
      <w:r>
        <w:rPr>
          <w:rFonts w:ascii="华文楷体" w:hAnsi="华文楷体" w:eastAsia="华文楷体"/>
          <w:sz w:val="22"/>
        </w:rPr>
        <w:t>企业关键信息:</w:t>
      </w:r>
    </w:p>
    <w:p>
      <w:r>
        <w:rPr>
          <w:rFonts w:ascii="华文楷体" w:hAnsi="华文楷体" w:eastAsia="华文楷体"/>
          <w:sz w:val="22"/>
        </w:rPr>
        <w:t>• 基本情况: 成立于2023年，总部在杭州，主体为杭州深度求索人工智能基础技术研究有限公司，专注开源大模型、模型API与应用生态。近期公开信息显示DeepSeek-V4预览版已开放官网、App及API调用，注册资本由1000万元增至1500万元。</w:t>
      </w:r>
    </w:p>
    <w:p>
      <w:r>
        <w:rPr>
          <w:rFonts w:ascii="华文楷体" w:hAnsi="华文楷体" w:eastAsia="华文楷体"/>
          <w:sz w:val="22"/>
        </w:rPr>
        <w:t>• 高层与团队背景: 创始人梁文锋为幻方量化联合创始人，公开资料显示其毕业于浙江大学电子信息相关方向，具备量化投资、深度学习工程化和高性能计算资源组织经验；其他核心成员公开履历有限，待核实。</w:t>
      </w:r>
    </w:p>
    <w:p>
      <w:r>
        <w:rPr>
          <w:rFonts w:ascii="华文楷体" w:hAnsi="华文楷体" w:eastAsia="华文楷体"/>
          <w:sz w:val="22"/>
        </w:rPr>
        <w:t>• 银行关注点: 团队的量化与工程化背景决定其对算力、数据、模型推理成本和开发者生态敏感，决策链条偏技术与创始人驱动，拜访需围绕研发投入、算力预付、API结算和员工服务切入。</w:t>
      </w:r>
    </w:p>
    <w:p>
      <w:r>
        <w:rPr>
          <w:rFonts w:ascii="华文楷体" w:hAnsi="华文楷体" w:eastAsia="华文楷体"/>
          <w:sz w:val="22"/>
        </w:rPr>
        <w:t>推荐理由:</w:t>
      </w:r>
    </w:p>
    <w:p>
      <w:r>
        <w:rPr>
          <w:rFonts w:ascii="华文楷体" w:hAnsi="华文楷体" w:eastAsia="华文楷体"/>
          <w:sz w:val="22"/>
        </w:rPr>
        <w:t>• 杭州AI开源生态核心企业，受益于杭州建设人工智能创新发展第一城和“词元经济”政策叙事。</w:t>
      </w:r>
    </w:p>
    <w:p>
      <w:r>
        <w:rPr>
          <w:rFonts w:ascii="华文楷体" w:hAnsi="华文楷体" w:eastAsia="华文楷体"/>
          <w:sz w:val="22"/>
        </w:rPr>
        <w:t>• 模型API按Token计费，推理调用量扩大后会形成云资源预付、算力采购、开发者结算和现金流管理需求。</w:t>
      </w:r>
    </w:p>
    <w:p>
      <w:r>
        <w:rPr>
          <w:rFonts w:ascii="华文楷体" w:hAnsi="华文楷体" w:eastAsia="华文楷体"/>
          <w:sz w:val="22"/>
        </w:rPr>
        <w:t>• 注册资本调整与新模型发布显示商业化仍在推进，适合提前建立银行服务关系。</w:t>
      </w:r>
    </w:p>
    <w:p>
      <w:r>
        <w:rPr>
          <w:rFonts w:ascii="华文楷体" w:hAnsi="华文楷体" w:eastAsia="华文楷体"/>
          <w:sz w:val="22"/>
        </w:rPr>
        <w:t>银行展业机会:</w:t>
      </w:r>
    </w:p>
    <w:p>
      <w:r>
        <w:rPr>
          <w:rFonts w:ascii="华文楷体" w:hAnsi="华文楷体" w:eastAsia="华文楷体"/>
          <w:sz w:val="22"/>
        </w:rPr>
        <w:t>模型研发和API服务扩张会带来研发费用、算力资源预付、供应商账期和员工代发需求，可从科创授信、短贷、数字财资、资产池、平安薪切入。</w:t>
      </w:r>
    </w:p>
    <w:p>
      <w:r>
        <w:rPr>
          <w:rFonts w:ascii="华文楷体" w:hAnsi="华文楷体" w:eastAsia="华文楷体"/>
          <w:sz w:val="22"/>
        </w:rPr>
        <w:t>推荐产品组合:</w:t>
      </w:r>
    </w:p>
    <w:p>
      <w:r>
        <w:rPr>
          <w:rFonts w:ascii="华文楷体" w:hAnsi="华文楷体" w:eastAsia="华文楷体"/>
          <w:sz w:val="22"/>
        </w:rPr>
        <w:t>建议以【普惠金融科创贷】和【短贷（平安透/网上自由贷）】切入，解决研发投入与算力/API预付带来的流动资金需求；配套【数字财资、资产池、平安薪】，用于多账户资金管理、票据/现金资产管理和技术团队代发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客户经理切入话术:</w:t>
      </w:r>
    </w:p>
    <w:p>
      <w:r>
        <w:rPr>
          <w:rFonts w:ascii="华文楷体" w:hAnsi="华文楷体" w:eastAsia="华文楷体"/>
          <w:sz w:val="22"/>
        </w:rPr>
        <w:t>我们关注到杭州正在把词元经济和开源大模型作为重点方向，想先了解贵司API调用、算力预付和研发投入节奏，看看能否用科创授信和财资工具把资金安排做得更稳。</w:t>
      </w:r>
    </w:p>
    <w:p>
      <w:r>
        <w:rPr>
          <w:rFonts w:ascii="华文楷体" w:hAnsi="华文楷体" w:eastAsia="华文楷体"/>
          <w:sz w:val="22"/>
        </w:rPr>
        <w:t>风险提示:</w:t>
      </w:r>
    </w:p>
    <w:p>
      <w:r>
        <w:rPr>
          <w:rFonts w:ascii="华文楷体" w:hAnsi="华文楷体" w:eastAsia="华文楷体"/>
          <w:sz w:val="22"/>
        </w:rPr>
        <w:t>模型训练与推理成本高，商业化节奏、数据合规、知识产权、境外芯片限制和核心团队稳定性需重点尽调。</w:t>
      </w:r>
    </w:p>
    <w:p>
      <w:r>
        <w:rPr>
          <w:rFonts w:ascii="华文楷体" w:hAnsi="华文楷体" w:eastAsia="华文楷体"/>
          <w:sz w:val="22"/>
        </w:rPr>
        <w:t>##企业名称:阿里云计算有限公司</w:t>
      </w:r>
    </w:p>
    <w:p>
      <w:r>
        <w:rPr>
          <w:rFonts w:ascii="华文楷体" w:hAnsi="华文楷体" w:eastAsia="华文楷体"/>
          <w:sz w:val="22"/>
        </w:rPr>
        <w:t>• 推荐等级： 高</w:t>
      </w:r>
    </w:p>
    <w:p>
      <w:r>
        <w:rPr>
          <w:rFonts w:ascii="华文楷体" w:hAnsi="华文楷体" w:eastAsia="华文楷体"/>
          <w:sz w:val="22"/>
        </w:rPr>
        <w:t>• 所属赛道： 云计算 / MaaS / AI基础设施</w:t>
      </w:r>
    </w:p>
    <w:p>
      <w:r>
        <w:rPr>
          <w:rFonts w:ascii="华文楷体" w:hAnsi="华文楷体" w:eastAsia="华文楷体"/>
          <w:sz w:val="22"/>
        </w:rPr>
        <w:t>• 所在地区： 杭州</w:t>
      </w:r>
    </w:p>
    <w:p>
      <w:r>
        <w:rPr>
          <w:rFonts w:ascii="华文楷体" w:hAnsi="华文楷体" w:eastAsia="华文楷体"/>
          <w:sz w:val="22"/>
        </w:rPr>
        <w:t>• 产业链位置： 上游算力与云服务 / 中游模型平台</w:t>
      </w:r>
    </w:p>
    <w:p>
      <w:r>
        <w:rPr>
          <w:rFonts w:ascii="华文楷体" w:hAnsi="华文楷体" w:eastAsia="华文楷体"/>
          <w:sz w:val="22"/>
        </w:rPr>
        <w:t>• 推荐方向： 生态结算 / 现金管理 / 供应链金融 / 综合金融</w:t>
      </w:r>
    </w:p>
    <w:p>
      <w:r>
        <w:rPr>
          <w:rFonts w:ascii="华文楷体" w:hAnsi="华文楷体" w:eastAsia="华文楷体"/>
          <w:sz w:val="22"/>
        </w:rPr>
        <w:t>企业关键信息:</w:t>
      </w:r>
    </w:p>
    <w:p>
      <w:r>
        <w:rPr>
          <w:rFonts w:ascii="华文楷体" w:hAnsi="华文楷体" w:eastAsia="华文楷体"/>
          <w:sz w:val="22"/>
        </w:rPr>
        <w:t>• 基本情况: 阿里云为阿里巴巴集团云计算与AI基础设施核心平台，杭州为重要总部与研发运营基地，业务覆盖云计算、大模型服务、MaaS、企业数字化和开发者生态。iFinD公告材料显示，国内主要云厂商资本开支明显投向AI基础设施。</w:t>
      </w:r>
    </w:p>
    <w:p>
      <w:r>
        <w:rPr>
          <w:rFonts w:ascii="华文楷体" w:hAnsi="华文楷体" w:eastAsia="华文楷体"/>
          <w:sz w:val="22"/>
        </w:rPr>
        <w:t>• 高层与团队背景: 集团创始人及管理层公开履历充分，云智能业务由专业经理人和技术团队运营，通义千问、云原生、数据库、安全等团队具有长期云计算和AI工程化积累；具体本地对接决策人待核实。</w:t>
      </w:r>
    </w:p>
    <w:p>
      <w:r>
        <w:rPr>
          <w:rFonts w:ascii="华文楷体" w:hAnsi="华文楷体" w:eastAsia="华文楷体"/>
          <w:sz w:val="22"/>
        </w:rPr>
        <w:t>• 银行关注点: 阿里云具备平台型生态，银行机会不只在主体授信，更在其开发者、ISV、渠道商、云市场供应商和企业客户的结算与融资。</w:t>
      </w:r>
    </w:p>
    <w:p>
      <w:r>
        <w:rPr>
          <w:rFonts w:ascii="华文楷体" w:hAnsi="华文楷体" w:eastAsia="华文楷体"/>
          <w:sz w:val="22"/>
        </w:rPr>
        <w:t>推荐理由:</w:t>
      </w:r>
    </w:p>
    <w:p>
      <w:r>
        <w:rPr>
          <w:rFonts w:ascii="华文楷体" w:hAnsi="华文楷体" w:eastAsia="华文楷体"/>
          <w:sz w:val="22"/>
        </w:rPr>
        <w:t>• 三大运营商Token套餐推动“算力水电煤化”，云厂商需要与运营商、模型厂商和企业客户重新分层。</w:t>
      </w:r>
    </w:p>
    <w:p>
      <w:r>
        <w:rPr>
          <w:rFonts w:ascii="华文楷体" w:hAnsi="华文楷体" w:eastAsia="华文楷体"/>
          <w:sz w:val="22"/>
        </w:rPr>
        <w:t>• AI应用规模化会提高云资源、MaaS调用和数据服务需求，形成生态结算和供应链金融场景。</w:t>
      </w:r>
    </w:p>
    <w:p>
      <w:r>
        <w:rPr>
          <w:rFonts w:ascii="华文楷体" w:hAnsi="华文楷体" w:eastAsia="华文楷体"/>
          <w:sz w:val="22"/>
        </w:rPr>
        <w:t>• 杭州AI产业政策与阿里云生态高度相关，可带动本地ISV和企业服务商批量获客。</w:t>
      </w:r>
    </w:p>
    <w:p>
      <w:r>
        <w:rPr>
          <w:rFonts w:ascii="华文楷体" w:hAnsi="华文楷体" w:eastAsia="华文楷体"/>
          <w:sz w:val="22"/>
        </w:rPr>
        <w:t>银行展业机会:</w:t>
      </w:r>
    </w:p>
    <w:p>
      <w:r>
        <w:rPr>
          <w:rFonts w:ascii="华文楷体" w:hAnsi="华文楷体" w:eastAsia="华文楷体"/>
          <w:sz w:val="22"/>
        </w:rPr>
        <w:t>围绕云市场、渠道商、ISV和大客户项目，可落地数字财资、资产池、平安结算通、产业结算通、商票e贴、付融通和平台数字贷。</w:t>
      </w:r>
    </w:p>
    <w:p>
      <w:r>
        <w:rPr>
          <w:rFonts w:ascii="华文楷体" w:hAnsi="华文楷体" w:eastAsia="华文楷体"/>
          <w:sz w:val="22"/>
        </w:rPr>
        <w:t>推荐产品组合:</w:t>
      </w:r>
    </w:p>
    <w:p>
      <w:r>
        <w:rPr>
          <w:rFonts w:ascii="华文楷体" w:hAnsi="华文楷体" w:eastAsia="华文楷体"/>
          <w:sz w:val="22"/>
        </w:rPr>
        <w:t>建议以【数字财资+产业结算通】服务生态结算和多账户资金管理；配套【资产池、商票e贴、付融通、平台数字贷】，用于云市场供应商回款、票据和应收账款融资。额度、期限、费率待沟通。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客户经理切入话术:</w:t>
      </w:r>
    </w:p>
    <w:p>
      <w:r>
        <w:rPr>
          <w:rFonts w:ascii="华文楷体" w:hAnsi="华文楷体" w:eastAsia="华文楷体"/>
          <w:sz w:val="22"/>
        </w:rPr>
        <w:t>我们希望从阿里云生态而不是单点授信切入，重点看云市场服务商、ISV和大客户项目回款，能否联合设计一套结算、票据和供应链融资方案。</w:t>
      </w:r>
    </w:p>
    <w:p>
      <w:r>
        <w:rPr>
          <w:rFonts w:ascii="华文楷体" w:hAnsi="华文楷体" w:eastAsia="华文楷体"/>
          <w:sz w:val="22"/>
        </w:rPr>
        <w:t>风险提示:</w:t>
      </w:r>
    </w:p>
    <w:p>
      <w:r>
        <w:rPr>
          <w:rFonts w:ascii="华文楷体" w:hAnsi="华文楷体" w:eastAsia="华文楷体"/>
          <w:sz w:val="22"/>
        </w:rPr>
        <w:t>主体信用强但银行切入门槛高，需避免只停留在总部层面；生态客户质量差异大，需结合交易数据、合同和回款闭环评估。</w:t>
      </w:r>
    </w:p>
    <w:p>
      <w:r>
        <w:rPr>
          <w:rFonts w:ascii="华文楷体" w:hAnsi="华文楷体" w:eastAsia="华文楷体"/>
          <w:sz w:val="22"/>
        </w:rPr>
        <w:t>##企业名称:杭州群核信息技术有限公司（群核科技）</w:t>
      </w:r>
    </w:p>
    <w:p>
      <w:r>
        <w:rPr>
          <w:rFonts w:ascii="华文楷体" w:hAnsi="华文楷体" w:eastAsia="华文楷体"/>
          <w:sz w:val="22"/>
        </w:rPr>
        <w:t>• 推荐等级： 高</w:t>
      </w:r>
    </w:p>
    <w:p>
      <w:r>
        <w:rPr>
          <w:rFonts w:ascii="华文楷体" w:hAnsi="华文楷体" w:eastAsia="华文楷体"/>
          <w:sz w:val="22"/>
        </w:rPr>
        <w:t>• 所属赛道： AI SaaS / 空间智能 / 设计软件</w:t>
      </w:r>
    </w:p>
    <w:p>
      <w:r>
        <w:rPr>
          <w:rFonts w:ascii="华文楷体" w:hAnsi="华文楷体" w:eastAsia="华文楷体"/>
          <w:sz w:val="22"/>
        </w:rPr>
        <w:t>• 所在地区： 杭州</w:t>
      </w:r>
    </w:p>
    <w:p>
      <w:r>
        <w:rPr>
          <w:rFonts w:ascii="华文楷体" w:hAnsi="华文楷体" w:eastAsia="华文楷体"/>
          <w:sz w:val="22"/>
        </w:rPr>
        <w:t>• 产业链位置： 下游应用与场景 / 生态服务商</w:t>
      </w:r>
    </w:p>
    <w:p>
      <w:r>
        <w:rPr>
          <w:rFonts w:ascii="华文楷体" w:hAnsi="华文楷体" w:eastAsia="华文楷体"/>
          <w:sz w:val="22"/>
        </w:rPr>
        <w:t>• 推荐方向： 科创融资 / 流动资金 / 客户回款 / 现金管理</w:t>
      </w:r>
    </w:p>
    <w:p>
      <w:r>
        <w:rPr>
          <w:rFonts w:ascii="华文楷体" w:hAnsi="华文楷体" w:eastAsia="华文楷体"/>
          <w:sz w:val="22"/>
        </w:rPr>
        <w:t>企业关键信息:</w:t>
      </w:r>
    </w:p>
    <w:p>
      <w:r>
        <w:rPr>
          <w:rFonts w:ascii="华文楷体" w:hAnsi="华文楷体" w:eastAsia="华文楷体"/>
          <w:sz w:val="22"/>
        </w:rPr>
        <w:t>• 基本情况: 群核科技成立于2011年，总部杭州，核心产品为酷家乐及海外版Coohom，业务覆盖云原生空间设计软件、空间智能平台、AI设计和虚拟摄影。公开报道显示其已于2026年4月登陆港股，被称为“全球空间智能第一股”。</w:t>
      </w:r>
    </w:p>
    <w:p>
      <w:r>
        <w:rPr>
          <w:rFonts w:ascii="华文楷体" w:hAnsi="华文楷体" w:eastAsia="华文楷体"/>
          <w:sz w:val="22"/>
        </w:rPr>
        <w:t>• 高层与团队背景: 由黄晓煌、陈航、朱皓三位浙江大学校友联合创立；公开资料显示创始团队曾有英伟达、微软、亚马逊、美国国家超级计算应用中心等经历，具备GPU、多核并行、图形渲染和云端计算背景。</w:t>
      </w:r>
    </w:p>
    <w:p>
      <w:r>
        <w:rPr>
          <w:rFonts w:ascii="华文楷体" w:hAnsi="华文楷体" w:eastAsia="华文楷体"/>
          <w:sz w:val="22"/>
        </w:rPr>
        <w:t>• 银行关注点: 创始团队技术背景强，业务兼具SaaS订阅和云渲染资源消耗，适合从客户回款、云资源预付和海外订阅收款切入。</w:t>
      </w:r>
    </w:p>
    <w:p>
      <w:r>
        <w:rPr>
          <w:rFonts w:ascii="华文楷体" w:hAnsi="华文楷体" w:eastAsia="华文楷体"/>
          <w:sz w:val="22"/>
        </w:rPr>
        <w:t>推荐理由:</w:t>
      </w:r>
    </w:p>
    <w:p>
      <w:r>
        <w:rPr>
          <w:rFonts w:ascii="华文楷体" w:hAnsi="华文楷体" w:eastAsia="华文楷体"/>
          <w:sz w:val="22"/>
        </w:rPr>
        <w:t>• AI设计、云渲染和空间智能是AI应用商业化较清晰的方向。</w:t>
      </w:r>
    </w:p>
    <w:p>
      <w:r>
        <w:rPr>
          <w:rFonts w:ascii="华文楷体" w:hAnsi="华文楷体" w:eastAsia="华文楷体"/>
          <w:sz w:val="22"/>
        </w:rPr>
        <w:t>• 上市后仍需持续研发、海外拓展和生态伙伴经营，银行可围绕现金管理与供应链拓展服务。</w:t>
      </w:r>
    </w:p>
    <w:p>
      <w:r>
        <w:rPr>
          <w:rFonts w:ascii="华文楷体" w:hAnsi="华文楷体" w:eastAsia="华文楷体"/>
          <w:sz w:val="22"/>
        </w:rPr>
        <w:t>• 其服务家居、装修、零售和公装客户，具备平台型获客和上下游金融延展空间。</w:t>
      </w:r>
    </w:p>
    <w:p>
      <w:r>
        <w:rPr>
          <w:rFonts w:ascii="华文楷体" w:hAnsi="华文楷体" w:eastAsia="华文楷体"/>
          <w:sz w:val="22"/>
        </w:rPr>
        <w:t>银行展业机会:</w:t>
      </w:r>
    </w:p>
    <w:p>
      <w:r>
        <w:rPr>
          <w:rFonts w:ascii="华文楷体" w:hAnsi="华文楷体" w:eastAsia="华文楷体"/>
          <w:sz w:val="22"/>
        </w:rPr>
        <w:t>SaaS订阅收款、云渲染成本、企业客户账期和海外业务会带来慧收款、短贷、科创贷、付融通、跨境结算和数字财资需求。</w:t>
      </w:r>
    </w:p>
    <w:p>
      <w:r>
        <w:rPr>
          <w:rFonts w:ascii="华文楷体" w:hAnsi="华文楷体" w:eastAsia="华文楷体"/>
          <w:sz w:val="22"/>
        </w:rPr>
        <w:t>推荐产品组合:</w:t>
      </w:r>
    </w:p>
    <w:p>
      <w:r>
        <w:rPr>
          <w:rFonts w:ascii="华文楷体" w:hAnsi="华文楷体" w:eastAsia="华文楷体"/>
          <w:sz w:val="22"/>
        </w:rPr>
        <w:t>建议以【慧收款+数字财资】切入，解决订阅回款、对账和多账户管理；配套【普惠金融科创贷、短贷、付融通、跨境支付结算】，用于研发投入、云资源预付、客户账期和海外订阅收款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客户经理切入话术:</w:t>
      </w:r>
    </w:p>
    <w:p>
      <w:r>
        <w:rPr>
          <w:rFonts w:ascii="华文楷体" w:hAnsi="华文楷体" w:eastAsia="华文楷体"/>
          <w:sz w:val="22"/>
        </w:rPr>
        <w:t>贵司上市后AI设计和海外Coohom都会继续投入，我们想围绕订阅回款、云渲染成本和海外收款做一套轻量方案，先把资金流和账期压力梳理清楚。</w:t>
      </w:r>
    </w:p>
    <w:p>
      <w:r>
        <w:rPr>
          <w:rFonts w:ascii="华文楷体" w:hAnsi="华文楷体" w:eastAsia="华文楷体"/>
          <w:sz w:val="22"/>
        </w:rPr>
        <w:t>风险提示:</w:t>
      </w:r>
    </w:p>
    <w:p>
      <w:r>
        <w:rPr>
          <w:rFonts w:ascii="华文楷体" w:hAnsi="华文楷体" w:eastAsia="华文楷体"/>
          <w:sz w:val="22"/>
        </w:rPr>
        <w:t>SaaS续费率、海外增长、云资源成本、客户集中度和上市后信息披露约束需关注。</w:t>
      </w:r>
    </w:p>
    <w:p>
      <w:r>
        <w:rPr>
          <w:rFonts w:ascii="华文楷体" w:hAnsi="华文楷体" w:eastAsia="华文楷体"/>
          <w:sz w:val="22"/>
        </w:rPr>
        <w:t>##企业名称:杭州宇树科技股份有限公司</w:t>
      </w:r>
    </w:p>
    <w:p>
      <w:r>
        <w:rPr>
          <w:rFonts w:ascii="华文楷体" w:hAnsi="华文楷体" w:eastAsia="华文楷体"/>
          <w:sz w:val="22"/>
        </w:rPr>
        <w:t>• 推荐等级： 高</w:t>
      </w:r>
    </w:p>
    <w:p>
      <w:r>
        <w:rPr>
          <w:rFonts w:ascii="华文楷体" w:hAnsi="华文楷体" w:eastAsia="华文楷体"/>
          <w:sz w:val="22"/>
        </w:rPr>
        <w:t>• 所属赛道： 具身智能 / 机器人 / AI硬件</w:t>
      </w:r>
    </w:p>
    <w:p>
      <w:r>
        <w:rPr>
          <w:rFonts w:ascii="华文楷体" w:hAnsi="华文楷体" w:eastAsia="华文楷体"/>
          <w:sz w:val="22"/>
        </w:rPr>
        <w:t>• 所在地区： 杭州滨江</w:t>
      </w:r>
    </w:p>
    <w:p>
      <w:r>
        <w:rPr>
          <w:rFonts w:ascii="华文楷体" w:hAnsi="华文楷体" w:eastAsia="华文楷体"/>
          <w:sz w:val="22"/>
        </w:rPr>
        <w:t>• 产业链位置： 下游应用与场景 / 上游硬件生态</w:t>
      </w:r>
    </w:p>
    <w:p>
      <w:r>
        <w:rPr>
          <w:rFonts w:ascii="华文楷体" w:hAnsi="华文楷体" w:eastAsia="华文楷体"/>
          <w:sz w:val="22"/>
        </w:rPr>
        <w:t>• 推荐方向： 科创融资 / 设备融资 / 订单融资 / 供应链金融</w:t>
      </w:r>
    </w:p>
    <w:p>
      <w:r>
        <w:rPr>
          <w:rFonts w:ascii="华文楷体" w:hAnsi="华文楷体" w:eastAsia="华文楷体"/>
          <w:sz w:val="22"/>
        </w:rPr>
        <w:t>企业关键信息:</w:t>
      </w:r>
    </w:p>
    <w:p>
      <w:r>
        <w:rPr>
          <w:rFonts w:ascii="华文楷体" w:hAnsi="华文楷体" w:eastAsia="华文楷体"/>
          <w:sz w:val="22"/>
        </w:rPr>
        <w:t>• 基本情况: 宇树科技总部位于杭州滨江，专注四足机器人、人形机器人和具身智能产品。近期公开报道显示其在杭州新设机器人业务公司，并参与国家人工智能应用中试基地（具身智能）共建，杭州具身智能集群热度继续提升。</w:t>
      </w:r>
    </w:p>
    <w:p>
      <w:r>
        <w:rPr>
          <w:rFonts w:ascii="华文楷体" w:hAnsi="华文楷体" w:eastAsia="华文楷体"/>
          <w:sz w:val="22"/>
        </w:rPr>
        <w:t>• 高层与团队背景: 创始人王兴兴公开资料显示为机器人技术背景，曾以低成本高性能四足机器人产品打开市场；公司团队具备运动控制、机械、电机、感知算法和量产工程能力。具体CFO、供应链负责人待核实。</w:t>
      </w:r>
    </w:p>
    <w:p>
      <w:r>
        <w:rPr>
          <w:rFonts w:ascii="华文楷体" w:hAnsi="华文楷体" w:eastAsia="华文楷体"/>
          <w:sz w:val="22"/>
        </w:rPr>
        <w:t>• 银行关注点: 从研发样机走向小批量交付后，资金需求会从单纯研发转向供应链备货、设备采购、订单履约和渠道回款。</w:t>
      </w:r>
    </w:p>
    <w:p>
      <w:r>
        <w:rPr>
          <w:rFonts w:ascii="华文楷体" w:hAnsi="华文楷体" w:eastAsia="华文楷体"/>
          <w:sz w:val="22"/>
        </w:rPr>
        <w:t>推荐理由:</w:t>
      </w:r>
    </w:p>
    <w:p>
      <w:r>
        <w:rPr>
          <w:rFonts w:ascii="华文楷体" w:hAnsi="华文楷体" w:eastAsia="华文楷体"/>
          <w:sz w:val="22"/>
        </w:rPr>
        <w:t>• 杭州具身智能政策和中试基地落地，宇树是本地最具辨识度的链主企业之一。</w:t>
      </w:r>
    </w:p>
    <w:p>
      <w:r>
        <w:rPr>
          <w:rFonts w:ascii="华文楷体" w:hAnsi="华文楷体" w:eastAsia="华文楷体"/>
          <w:sz w:val="22"/>
        </w:rPr>
        <w:t>• 人形机器人进入量产验证阶段，零部件、代工、渠道和场景试点会放大供应链金融需求。</w:t>
      </w:r>
    </w:p>
    <w:p>
      <w:r>
        <w:rPr>
          <w:rFonts w:ascii="华文楷体" w:hAnsi="华文楷体" w:eastAsia="华文楷体"/>
          <w:sz w:val="22"/>
        </w:rPr>
        <w:t>• 企业若推进资本市场路径，存在综合金融和资本市场联动空间。</w:t>
      </w:r>
    </w:p>
    <w:p>
      <w:r>
        <w:rPr>
          <w:rFonts w:ascii="华文楷体" w:hAnsi="华文楷体" w:eastAsia="华文楷体"/>
          <w:sz w:val="22"/>
        </w:rPr>
        <w:t>银行展业机会:</w:t>
      </w:r>
    </w:p>
    <w:p>
      <w:r>
        <w:rPr>
          <w:rFonts w:ascii="华文楷体" w:hAnsi="华文楷体" w:eastAsia="华文楷体"/>
          <w:sz w:val="22"/>
        </w:rPr>
        <w:t>整机量产会带来原材料采购、关键零部件账期、订单履约保证、设备租赁和政府/大客户项目回款需求，可用科创贷、订单融资、平安租赁、付融通和再贷款工具组合。</w:t>
      </w:r>
    </w:p>
    <w:p>
      <w:r>
        <w:rPr>
          <w:rFonts w:ascii="华文楷体" w:hAnsi="华文楷体" w:eastAsia="华文楷体"/>
          <w:sz w:val="22"/>
        </w:rPr>
        <w:t>推荐产品组合:</w:t>
      </w:r>
    </w:p>
    <w:p>
      <w:r>
        <w:rPr>
          <w:rFonts w:ascii="华文楷体" w:hAnsi="华文楷体" w:eastAsia="华文楷体"/>
          <w:sz w:val="22"/>
        </w:rPr>
        <w:t>建议以【科技创新和技术更新改造再贷款】及【普惠金融科创贷】切入研发和设备更新；配套【订单融资、付融通、平安租赁、数字财资】，用于供应链备货、订单履约、设备采购和资金管理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客户经理切入话术:</w:t>
      </w:r>
    </w:p>
    <w:p>
      <w:r>
        <w:rPr>
          <w:rFonts w:ascii="华文楷体" w:hAnsi="华文楷体" w:eastAsia="华文楷体"/>
          <w:sz w:val="22"/>
        </w:rPr>
        <w:t>具身智能从展示走向交付后，最核心是订单、备货和供应商账期。我们可以先看贵司量产计划和核心供应商付款节奏，匹配订单融资、租赁和科创授信。</w:t>
      </w:r>
    </w:p>
    <w:p>
      <w:r>
        <w:rPr>
          <w:rFonts w:ascii="华文楷体" w:hAnsi="华文楷体" w:eastAsia="华文楷体"/>
          <w:sz w:val="22"/>
        </w:rPr>
        <w:t>风险提示:</w:t>
      </w:r>
    </w:p>
    <w:p>
      <w:r>
        <w:rPr>
          <w:rFonts w:ascii="华文楷体" w:hAnsi="华文楷体" w:eastAsia="华文楷体"/>
          <w:sz w:val="22"/>
        </w:rPr>
        <w:t>机器人行业量产良率、交付节奏、订单真实性、估值波动、供应链稳定性和安全责任需重点核查。</w:t>
      </w:r>
    </w:p>
    <w:p>
      <w:r>
        <w:rPr>
          <w:rFonts w:ascii="华文楷体" w:hAnsi="华文楷体" w:eastAsia="华文楷体"/>
          <w:sz w:val="22"/>
        </w:rPr>
        <w:t>##企业名称:网易（杭州）网络有限公司</w:t>
      </w:r>
    </w:p>
    <w:p>
      <w:r>
        <w:rPr>
          <w:rFonts w:ascii="华文楷体" w:hAnsi="华文楷体" w:eastAsia="华文楷体"/>
          <w:sz w:val="22"/>
        </w:rPr>
        <w:t>• 推荐等级： 中高</w:t>
      </w:r>
    </w:p>
    <w:p>
      <w:r>
        <w:rPr>
          <w:rFonts w:ascii="华文楷体" w:hAnsi="华文楷体" w:eastAsia="华文楷体"/>
          <w:sz w:val="22"/>
        </w:rPr>
        <w:t>• 所属赛道： 游戏 / 内容平台 / AI应用</w:t>
      </w:r>
    </w:p>
    <w:p>
      <w:r>
        <w:rPr>
          <w:rFonts w:ascii="华文楷体" w:hAnsi="华文楷体" w:eastAsia="华文楷体"/>
          <w:sz w:val="22"/>
        </w:rPr>
        <w:t>• 所在地区： 杭州</w:t>
      </w:r>
    </w:p>
    <w:p>
      <w:r>
        <w:rPr>
          <w:rFonts w:ascii="华文楷体" w:hAnsi="华文楷体" w:eastAsia="华文楷体"/>
          <w:sz w:val="22"/>
        </w:rPr>
        <w:t>• 产业链位置： 下游应用与场景</w:t>
      </w:r>
    </w:p>
    <w:p>
      <w:r>
        <w:rPr>
          <w:rFonts w:ascii="华文楷体" w:hAnsi="华文楷体" w:eastAsia="华文楷体"/>
          <w:sz w:val="22"/>
        </w:rPr>
        <w:t>• 推荐方向： 跨境结算 / 现金管理 / 代发 / 广告回款</w:t>
      </w:r>
    </w:p>
    <w:p>
      <w:r>
        <w:rPr>
          <w:rFonts w:ascii="华文楷体" w:hAnsi="华文楷体" w:eastAsia="华文楷体"/>
          <w:sz w:val="22"/>
        </w:rPr>
        <w:t>企业关键信息:</w:t>
      </w:r>
    </w:p>
    <w:p>
      <w:r>
        <w:rPr>
          <w:rFonts w:ascii="华文楷体" w:hAnsi="华文楷体" w:eastAsia="华文楷体"/>
          <w:sz w:val="22"/>
        </w:rPr>
        <w:t>• 基本情况: 网易杭州承载网易游戏、内容和互联网业务的重要研发运营职能。公开财报报道显示网易2026年一季度游戏主业仍是核心，游戏板块收入同比增长，但海外爆款和长期变现仍需验证。</w:t>
      </w:r>
    </w:p>
    <w:p>
      <w:r>
        <w:rPr>
          <w:rFonts w:ascii="华文楷体" w:hAnsi="华文楷体" w:eastAsia="华文楷体"/>
          <w:sz w:val="22"/>
        </w:rPr>
        <w:t>• 高层与团队背景: 网易创始人丁磊公开资料显示为电子科技大学通信工程背景，长期深耕互联网、邮箱、游戏和音乐等业务；杭州团队具体项目负责人和财务负责人待核实。</w:t>
      </w:r>
    </w:p>
    <w:p>
      <w:r>
        <w:rPr>
          <w:rFonts w:ascii="华文楷体" w:hAnsi="华文楷体" w:eastAsia="华文楷体"/>
          <w:sz w:val="22"/>
        </w:rPr>
        <w:t>• 银行关注点: 游戏和内容业务现金流强但项目制波动大，AI内容生产、全球发行、广告投放和人员规模带来结算、跨境和代发机会。</w:t>
      </w:r>
    </w:p>
    <w:p>
      <w:r>
        <w:rPr>
          <w:rFonts w:ascii="华文楷体" w:hAnsi="华文楷体" w:eastAsia="华文楷体"/>
          <w:sz w:val="22"/>
        </w:rPr>
        <w:t>推荐理由:</w:t>
      </w:r>
    </w:p>
    <w:p>
      <w:r>
        <w:rPr>
          <w:rFonts w:ascii="华文楷体" w:hAnsi="华文楷体" w:eastAsia="华文楷体"/>
          <w:sz w:val="22"/>
        </w:rPr>
        <w:t>• AI正在改造游戏研发、营销素材生成、客服和全球发行效率。</w:t>
      </w:r>
    </w:p>
    <w:p>
      <w:r>
        <w:rPr>
          <w:rFonts w:ascii="华文楷体" w:hAnsi="华文楷体" w:eastAsia="华文楷体"/>
          <w:sz w:val="22"/>
        </w:rPr>
        <w:t>• 游戏出海和海外收入占比提升会带来跨境收款、汇率避险和海外资金管理需求。</w:t>
      </w:r>
    </w:p>
    <w:p>
      <w:r>
        <w:rPr>
          <w:rFonts w:ascii="华文楷体" w:hAnsi="华文楷体" w:eastAsia="华文楷体"/>
          <w:sz w:val="22"/>
        </w:rPr>
        <w:t>• 杭州内容与游戏人才密集，网易具备本地生态带动效应。</w:t>
      </w:r>
    </w:p>
    <w:p>
      <w:r>
        <w:rPr>
          <w:rFonts w:ascii="华文楷体" w:hAnsi="华文楷体" w:eastAsia="华文楷体"/>
          <w:sz w:val="22"/>
        </w:rPr>
        <w:t>银行展业机会:</w:t>
      </w:r>
    </w:p>
    <w:p>
      <w:r>
        <w:rPr>
          <w:rFonts w:ascii="华文楷体" w:hAnsi="华文楷体" w:eastAsia="华文楷体"/>
          <w:sz w:val="22"/>
        </w:rPr>
        <w:t>可围绕海外发行收款、广告投放预算、游戏项目回款、供应商结算和员工代发，切入跨境支付结算、平安避险、数字财资、慧收款和平安薪。</w:t>
      </w:r>
    </w:p>
    <w:p>
      <w:r>
        <w:rPr>
          <w:rFonts w:ascii="华文楷体" w:hAnsi="华文楷体" w:eastAsia="华文楷体"/>
          <w:sz w:val="22"/>
        </w:rPr>
        <w:t>推荐产品组合:</w:t>
      </w:r>
    </w:p>
    <w:p>
      <w:r>
        <w:rPr>
          <w:rFonts w:ascii="华文楷体" w:hAnsi="华文楷体" w:eastAsia="华文楷体"/>
          <w:sz w:val="22"/>
        </w:rPr>
        <w:t>建议以【跨境支付结算+平安避险】切入海外发行和广告投放资金；配套【数字财资、慧收款、平安薪】，用于项目资金管理、渠道回款对账和员工综合服务。额度、期限、费率待沟通。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客户经理切入话术:</w:t>
      </w:r>
    </w:p>
    <w:p>
      <w:r>
        <w:rPr>
          <w:rFonts w:ascii="华文楷体" w:hAnsi="华文楷体" w:eastAsia="华文楷体"/>
          <w:sz w:val="22"/>
        </w:rPr>
        <w:t>游戏出海和AI化素材生产都会改变资金流，我们想先从海外收款、汇率管理和项目对账入手，看看哪些场景能提升财务效率。</w:t>
      </w:r>
    </w:p>
    <w:p>
      <w:r>
        <w:rPr>
          <w:rFonts w:ascii="华文楷体" w:hAnsi="华文楷体" w:eastAsia="华文楷体"/>
          <w:sz w:val="22"/>
        </w:rPr>
        <w:t>风险提示:</w:t>
      </w:r>
    </w:p>
    <w:p>
      <w:r>
        <w:rPr>
          <w:rFonts w:ascii="华文楷体" w:hAnsi="华文楷体" w:eastAsia="华文楷体"/>
          <w:sz w:val="22"/>
        </w:rPr>
        <w:t>游戏版号、产品周期、海外渠道政策、内容合规、广告投放ROI和项目团队稳定性需关注。</w:t>
      </w:r>
    </w:p>
    <w:p>
      <w:r>
        <w:rPr>
          <w:rFonts w:ascii="华文楷体" w:hAnsi="华文楷体" w:eastAsia="华文楷体"/>
          <w:sz w:val="22"/>
        </w:rPr>
        <w:t>##企业名称:杭州极逸人工智能科技有限公司</w:t>
      </w:r>
    </w:p>
    <w:p>
      <w:r>
        <w:rPr>
          <w:rFonts w:ascii="华文楷体" w:hAnsi="华文楷体" w:eastAsia="华文楷体"/>
          <w:sz w:val="22"/>
        </w:rPr>
        <w:t>• 推荐等级： 中高</w:t>
      </w:r>
    </w:p>
    <w:p>
      <w:r>
        <w:rPr>
          <w:rFonts w:ascii="华文楷体" w:hAnsi="华文楷体" w:eastAsia="华文楷体"/>
          <w:sz w:val="22"/>
        </w:rPr>
        <w:t>• 所属赛道： AI游戏 / 智能体 / 游戏出海</w:t>
      </w:r>
    </w:p>
    <w:p>
      <w:r>
        <w:rPr>
          <w:rFonts w:ascii="华文楷体" w:hAnsi="华文楷体" w:eastAsia="华文楷体"/>
          <w:sz w:val="22"/>
        </w:rPr>
        <w:t>• 所在地区： 杭州</w:t>
      </w:r>
    </w:p>
    <w:p>
      <w:r>
        <w:rPr>
          <w:rFonts w:ascii="华文楷体" w:hAnsi="华文楷体" w:eastAsia="华文楷体"/>
          <w:sz w:val="22"/>
        </w:rPr>
        <w:t>• 产业链位置： 下游应用与场景 / 生态服务商</w:t>
      </w:r>
    </w:p>
    <w:p>
      <w:r>
        <w:rPr>
          <w:rFonts w:ascii="华文楷体" w:hAnsi="华文楷体" w:eastAsia="华文楷体"/>
          <w:sz w:val="22"/>
        </w:rPr>
        <w:t>• 推荐方向： 流动资金 / 跨境结算 / 平台结算 / 科创融资</w:t>
      </w:r>
    </w:p>
    <w:p>
      <w:r>
        <w:rPr>
          <w:rFonts w:ascii="华文楷体" w:hAnsi="华文楷体" w:eastAsia="华文楷体"/>
          <w:sz w:val="22"/>
        </w:rPr>
        <w:t>企业关键信息:</w:t>
      </w:r>
    </w:p>
    <w:p>
      <w:r>
        <w:rPr>
          <w:rFonts w:ascii="华文楷体" w:hAnsi="华文楷体" w:eastAsia="华文楷体"/>
          <w:sz w:val="22"/>
        </w:rPr>
        <w:t>• 基本情况: 极逸人工智能为恺英网络旗下杭州AI公司。2026年5月公开信息显示，其与中手游达成战略合作，推出面向全球休闲游戏市场的一站式AI智能体GamePartner.AI，覆盖市场洞察、游戏开发和全球发行。</w:t>
      </w:r>
    </w:p>
    <w:p>
      <w:r>
        <w:rPr>
          <w:rFonts w:ascii="华文楷体" w:hAnsi="华文楷体" w:eastAsia="华文楷体"/>
          <w:sz w:val="22"/>
        </w:rPr>
        <w:t>• 高层与团队背景: 母公司恺英网络为上市游戏公司，管理层具备游戏研发、发行和资本市场经验；极逸人工智能核心技术负责人、产品负责人公开信息有限，待核实。</w:t>
      </w:r>
    </w:p>
    <w:p>
      <w:r>
        <w:rPr>
          <w:rFonts w:ascii="华文楷体" w:hAnsi="华文楷体" w:eastAsia="华文楷体"/>
          <w:sz w:val="22"/>
        </w:rPr>
        <w:t>• 银行关注点: 背靠上市公司与游戏发行生态，若GPA平台商业化推进，会带来开发者结算、海外发行收款、算力/API预付和项目周转需求。</w:t>
      </w:r>
    </w:p>
    <w:p>
      <w:r>
        <w:rPr>
          <w:rFonts w:ascii="华文楷体" w:hAnsi="华文楷体" w:eastAsia="华文楷体"/>
          <w:sz w:val="22"/>
        </w:rPr>
        <w:t>推荐理由:</w:t>
      </w:r>
    </w:p>
    <w:p>
      <w:r>
        <w:rPr>
          <w:rFonts w:ascii="华文楷体" w:hAnsi="华文楷体" w:eastAsia="华文楷体"/>
          <w:sz w:val="22"/>
        </w:rPr>
        <w:t>• AI智能体正在从通用办公转向垂直游戏生产，商业化路径清晰。</w:t>
      </w:r>
    </w:p>
    <w:p>
      <w:r>
        <w:rPr>
          <w:rFonts w:ascii="华文楷体" w:hAnsi="华文楷体" w:eastAsia="华文楷体"/>
          <w:sz w:val="22"/>
        </w:rPr>
        <w:t>• 视频生游戏、低成本休闲游戏开发若规模化，将提升模型调用和云资源消耗。</w:t>
      </w:r>
    </w:p>
    <w:p>
      <w:r>
        <w:rPr>
          <w:rFonts w:ascii="华文楷体" w:hAnsi="华文楷体" w:eastAsia="华文楷体"/>
          <w:sz w:val="22"/>
        </w:rPr>
        <w:t>• 与中手游合作具备全球发行入口，适合跨境和平台结算切入。</w:t>
      </w:r>
    </w:p>
    <w:p>
      <w:r>
        <w:rPr>
          <w:rFonts w:ascii="华文楷体" w:hAnsi="华文楷体" w:eastAsia="华文楷体"/>
          <w:sz w:val="22"/>
        </w:rPr>
        <w:t>银行展业机会:</w:t>
      </w:r>
    </w:p>
    <w:p>
      <w:r>
        <w:rPr>
          <w:rFonts w:ascii="华文楷体" w:hAnsi="华文楷体" w:eastAsia="华文楷体"/>
          <w:sz w:val="22"/>
        </w:rPr>
        <w:t>经营场景包括开发者/工作室分账、海外平台回款、模型API与云资源预付、营销投放资金，可配置短贷、平安结算通、跨境结算、平安避险和数字财资。</w:t>
      </w:r>
    </w:p>
    <w:p>
      <w:r>
        <w:rPr>
          <w:rFonts w:ascii="华文楷体" w:hAnsi="华文楷体" w:eastAsia="华文楷体"/>
          <w:sz w:val="22"/>
        </w:rPr>
        <w:t>推荐产品组合:</w:t>
      </w:r>
    </w:p>
    <w:p>
      <w:r>
        <w:rPr>
          <w:rFonts w:ascii="华文楷体" w:hAnsi="华文楷体" w:eastAsia="华文楷体"/>
          <w:sz w:val="22"/>
        </w:rPr>
        <w:t>建议以【平安结算通】和【跨境支付结算】切入开发者分账与海外回款；配套【短贷（平安透/网上自由贷）、数字财资、平安避险】，解决云资源预付、投放周转和汇率管理。额度、期限、费率待沟通。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客户经理切入话术:</w:t>
      </w:r>
    </w:p>
    <w:p>
      <w:r>
        <w:rPr>
          <w:rFonts w:ascii="华文楷体" w:hAnsi="华文楷体" w:eastAsia="华文楷体"/>
          <w:sz w:val="22"/>
        </w:rPr>
        <w:t>GPA如果面向全球开发者和发行场景，资金流会涉及分账、海外收款和投放周转。我们可以先帮贵司梳理平台结算和跨境收款链路。</w:t>
      </w:r>
    </w:p>
    <w:p>
      <w:r>
        <w:rPr>
          <w:rFonts w:ascii="华文楷体" w:hAnsi="华文楷体" w:eastAsia="华文楷体"/>
          <w:sz w:val="22"/>
        </w:rPr>
        <w:t>风险提示:</w:t>
      </w:r>
    </w:p>
    <w:p>
      <w:r>
        <w:rPr>
          <w:rFonts w:ascii="华文楷体" w:hAnsi="华文楷体" w:eastAsia="华文楷体"/>
          <w:sz w:val="22"/>
        </w:rPr>
        <w:t>AI生成游戏版权、平台规则、海外合规、商业化转化率、母公司资源投入和项目独立现金流需核实。</w:t>
      </w:r>
    </w:p>
    <w:p>
      <w:r>
        <w:rPr>
          <w:rFonts w:ascii="华文楷体" w:hAnsi="华文楷体" w:eastAsia="华文楷体"/>
          <w:sz w:val="22"/>
        </w:rPr>
        <w:t>#四、客户经理行动建议</w:t>
      </w:r>
    </w:p>
    <w:p>
      <w:pPr>
        <w:pStyle w:val="Heading2"/>
      </w:pPr>
      <w:r>
        <w:rPr>
          <w:rFonts w:ascii="华文楷体" w:hAnsi="华文楷体" w:eastAsia="华文楷体"/>
          <w:sz w:val="28"/>
        </w:rPr>
        <w:t>1. 本周优先拜访杭州深度求索人工智能基础技术研究有限公司（DeepSeek）、阿里云计算有限公司、杭州群核信息技术有限公司（群核科技）、杭州宇树科技股份有限公司、网易（杭州）网络有限公司、杭州极逸人工智能科技有限公司。</w:t>
      </w:r>
    </w:p>
    <w:p>
      <w:pPr>
        <w:pStyle w:val="Heading2"/>
      </w:pPr>
      <w:r>
        <w:rPr>
          <w:rFonts w:ascii="华文楷体" w:hAnsi="华文楷体" w:eastAsia="华文楷体"/>
          <w:sz w:val="28"/>
        </w:rPr>
        <w:t>2. 拜访DeepSeek和阿里云时，先问Token调用量、算力包预付、云市场生态结算和开发者服务商回款，不要一上来谈授信额度。</w:t>
      </w:r>
    </w:p>
    <w:p>
      <w:pPr>
        <w:pStyle w:val="Heading2"/>
      </w:pPr>
      <w:r>
        <w:rPr>
          <w:rFonts w:ascii="华文楷体" w:hAnsi="华文楷体" w:eastAsia="华文楷体"/>
          <w:sz w:val="28"/>
        </w:rPr>
        <w:t>3. 拜访群核科技和极逸人工智能时，重点聊SaaS订阅回款、云渲染/API成本、海外收款和平台分账，准备慧收款、数字财资、短贷和跨境结算方案。</w:t>
      </w:r>
    </w:p>
    <w:p>
      <w:pPr>
        <w:pStyle w:val="Heading2"/>
      </w:pPr>
      <w:r>
        <w:rPr>
          <w:rFonts w:ascii="华文楷体" w:hAnsi="华文楷体" w:eastAsia="华文楷体"/>
          <w:sz w:val="28"/>
        </w:rPr>
        <w:t>4. 拜访宇树科技时，围绕量产节奏、核心供应商付款、订单履约和设备采购切入，联动科创贷、再贷款、平安租赁、订单融资和付融通产品经理。</w:t>
      </w:r>
    </w:p>
    <w:p>
      <w:pPr>
        <w:pStyle w:val="Heading2"/>
      </w:pPr>
      <w:r>
        <w:rPr>
          <w:rFonts w:ascii="华文楷体" w:hAnsi="华文楷体" w:eastAsia="华文楷体"/>
          <w:sz w:val="28"/>
        </w:rPr>
        <w:t>5. 拜访网易杭州时，围绕游戏出海、广告投放、AI内容生产、项目回款和员工代发切入，准备跨境结算、平安避险、数字财资、慧收款和平安薪方案。</w:t>
      </w:r>
    </w:p>
    <w:p>
      <w:r>
        <w:rPr>
          <w:rFonts w:ascii="华文楷体" w:hAnsi="华文楷体" w:eastAsia="华文楷体"/>
          <w:sz w:val="22"/>
        </w:rPr>
        <w:t>#资料来源</w:t>
      </w:r>
    </w:p>
    <w:p>
      <w:r>
        <w:rPr>
          <w:rFonts w:ascii="华文楷体" w:hAnsi="华文楷体" w:eastAsia="华文楷体"/>
          <w:sz w:val="22"/>
        </w:rPr>
        <w:t>新华网科技、36氪快讯、财联社电报、央视网、人民网/中新网、21财经/证券时报、虎嗅/极客公园、iFinD公告语义检索、企业官网及公开披露资料等。iFinD热点事件接口返回403无权限，本期以公告语义检索替代。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华文楷体" w:hAnsi="华文楷体" w:eastAsia="华文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华文楷体" w:hAnsi="华文楷体" w:eastAsia="华文楷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华文楷体" w:hAnsi="华文楷体" w:eastAsia="华文楷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华文楷体" w:hAnsi="华文楷体" w:eastAsia="华文楷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华文楷体" w:hAnsi="华文楷体" w:eastAsia="华文楷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华文楷体" w:hAnsi="华文楷体" w:eastAsia="华文楷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华文楷体" w:hAnsi="华文楷体" w:eastAsia="华文楷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华文楷体" w:hAnsi="华文楷体" w:eastAsia="华文楷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华文楷体" w:hAnsi="华文楷体" w:eastAsia="华文楷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华文楷体" w:hAnsi="华文楷体" w:eastAsia="华文楷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华文楷体" w:hAnsi="华文楷体" w:eastAsia="华文楷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华文楷体" w:hAnsi="华文楷体" w:eastAsia="华文楷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华文楷体" w:hAnsi="华文楷体" w:eastAsia="华文楷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华文楷体" w:hAnsi="华文楷体" w:eastAsia="华文楷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华文楷体" w:hAnsi="华文楷体" w:eastAsia="华文楷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华文楷体" w:hAnsi="华文楷体" w:eastAsia="华文楷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华文楷体" w:hAnsi="华文楷体" w:eastAsia="华文楷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华文楷体" w:hAnsi="华文楷体" w:eastAsia="华文楷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华文楷体" w:hAnsi="华文楷体" w:eastAsia="华文楷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华文楷体" w:hAnsi="华文楷体" w:eastAsia="华文楷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华文楷体" w:hAnsi="华文楷体" w:eastAsia="华文楷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华文楷体" w:hAnsi="华文楷体" w:eastAsia="华文楷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华文楷体" w:hAnsi="华文楷体" w:eastAsia="华文楷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华文楷体" w:hAnsi="华文楷体" w:eastAsia="华文楷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华文楷体" w:hAnsi="华文楷体" w:eastAsia="华文楷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华文楷体" w:hAnsi="华文楷体" w:eastAsia="华文楷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华文楷体" w:hAnsi="华文楷体" w:eastAsia="华文楷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华文楷体" w:hAnsi="华文楷体" w:eastAsia="华文楷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华文楷体" w:hAnsi="华文楷体" w:eastAsia="华文楷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华文楷体" w:hAnsi="华文楷体" w:eastAsia="华文楷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华文楷体" w:hAnsi="华文楷体" w:eastAsia="华文楷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华文楷体" w:hAnsi="华文楷体" w:eastAsia="华文楷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华文楷体" w:hAnsi="华文楷体" w:eastAsia="华文楷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华文楷体" w:hAnsi="华文楷体" w:eastAsia="华文楷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华文楷体" w:hAnsi="华文楷体" w:eastAsia="华文楷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华文楷体" w:hAnsi="华文楷体" w:eastAsia="华文楷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华文楷体" w:hAnsi="华文楷体" w:eastAsia="华文楷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华文楷体" w:hAnsi="华文楷体" w:eastAsia="华文楷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华文楷体" w:hAnsi="华文楷体" w:eastAsia="华文楷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华文楷体" w:hAnsi="华文楷体" w:eastAsia="华文楷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华文楷体" w:hAnsi="华文楷体" w:eastAsia="华文楷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华文楷体" w:hAnsi="华文楷体" w:eastAsia="华文楷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华文楷体" w:hAnsi="华文楷体" w:eastAsia="华文楷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华文楷体" w:hAnsi="华文楷体" w:eastAsia="华文楷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华文楷体" w:hAnsi="华文楷体" w:eastAsia="华文楷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华文楷体" w:hAnsi="华文楷体" w:eastAsia="华文楷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华文楷体" w:hAnsi="华文楷体" w:eastAsia="华文楷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华文楷体" w:hAnsi="华文楷体" w:eastAsia="华文楷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华文楷体" w:hAnsi="华文楷体" w:eastAsia="华文楷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华文楷体" w:hAnsi="华文楷体" w:eastAsia="华文楷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华文楷体" w:hAnsi="华文楷体" w:eastAsia="华文楷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华文楷体" w:hAnsi="华文楷体" w:eastAsia="华文楷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华文楷体" w:hAnsi="华文楷体" w:eastAsia="华文楷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