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华文楷体" w:hAnsi="华文楷体" w:eastAsia="华文楷体"/>
          <w:sz w:val="22"/>
        </w:rPr>
        <w:t>互联网行业商机周报</w:t>
      </w:r>
    </w:p>
    <w:p>
      <w:r>
        <w:rPr>
          <w:rFonts w:ascii="华文楷体" w:hAnsi="华文楷体" w:eastAsia="华文楷体"/>
          <w:sz w:val="22"/>
        </w:rPr>
        <w:t>覆盖周期： 2026.05.22-05.28</w:t>
      </w:r>
    </w:p>
    <w:p>
      <w:r>
        <w:rPr>
          <w:rFonts w:ascii="华文楷体" w:hAnsi="华文楷体" w:eastAsia="华文楷体"/>
          <w:sz w:val="22"/>
        </w:rPr>
        <w:t>资料来源： 国家数据局、人民网、杭州网、每日经济新闻、证券时报、上海证券报、中国经济网、36氪、虎嗅、21财经、企业公开资料、iFinD公告语义检索等公开信息。</w:t>
      </w:r>
    </w:p>
    <w:p>
      <w:pPr>
        <w:pStyle w:val="Heading1"/>
      </w:pPr>
      <w:r>
        <w:rPr>
          <w:rFonts w:ascii="华文楷体" w:hAnsi="华文楷体" w:eastAsia="华文楷体"/>
          <w:sz w:val="22"/>
        </w:rPr>
        <w:t>一、行业动态与发展总结</w:t>
      </w:r>
    </w:p>
    <w:p>
      <w:pPr>
        <w:pStyle w:val="Heading2"/>
      </w:pPr>
      <w:r>
        <w:rPr>
          <w:rFonts w:ascii="华文楷体" w:hAnsi="华文楷体" w:eastAsia="华文楷体"/>
          <w:sz w:val="22"/>
        </w:rPr>
        <w:t>1. 近期政策变动</w:t>
      </w:r>
    </w:p>
    <w:p>
      <w:r>
        <w:rPr>
          <w:rFonts w:ascii="华文楷体" w:hAnsi="华文楷体" w:eastAsia="华文楷体"/>
          <w:sz w:val="22"/>
        </w:rPr>
        <w:t>国家层面本周主线是数字经济工作和AI应用治理并行推进。国家数据局印发2026年数字经济发展工作要点，重点放在全国一体化算力网、数据基础设施、数据赋能人工智能、高质量数据集和数据要素价值释放。对互联网企业而言，数据不再只是内部资产，而是要进入可流通、可治理、可计量的生产要素体系，具备数据治理、数据标注、行业知识库、模型评测和数据安全能力的企业将更容易拿到政企场景订单。</w:t>
      </w:r>
    </w:p>
    <w:p>
      <w:r>
        <w:rPr>
          <w:rFonts w:ascii="华文楷体" w:hAnsi="华文楷体" w:eastAsia="华文楷体"/>
          <w:sz w:val="22"/>
        </w:rPr>
        <w:t>人工智能监管也继续从“能不能用”转向“怎么合规地用”。拟人化互动、AI广告、直播带货、内容生成等场景被重点关注，平台企业需要强化标识、水印、算法备案、内容审核和用户权益保护。近期直播电商和互联网广告乱象被多家媒体曝光，也说明AI生成内容进入商业链路后，合规成本会成为平台和品牌方的刚性支出。</w:t>
      </w:r>
    </w:p>
    <w:p>
      <w:r>
        <w:rPr>
          <w:rFonts w:ascii="华文楷体" w:hAnsi="华文楷体" w:eastAsia="华文楷体"/>
          <w:sz w:val="22"/>
        </w:rPr>
        <w:t>综合影响闭环：政策信号指向“AI应用扩大 + 数据要素合规 + 平台责任加重”。经营含义是互联网企业需要增加算力、模型API、数据治理和合规投入；金融需求会体现为研发与云资源预付、项目回款周期拉长、平台商户结算与供应链资金占用。平安银行可从普惠金融科创贷、短贷、数字财资、平安结算通、产业结算通、付融通、票据和跨境结算切入。</w:t>
      </w:r>
    </w:p>
    <w:p>
      <w:pPr>
        <w:pStyle w:val="Heading2"/>
      </w:pPr>
      <w:r>
        <w:rPr>
          <w:rFonts w:ascii="华文楷体" w:hAnsi="华文楷体" w:eastAsia="华文楷体"/>
          <w:sz w:val="22"/>
        </w:rPr>
        <w:t>2. 政府规划与产业方向</w:t>
      </w:r>
    </w:p>
    <w:p>
      <w:r>
        <w:rPr>
          <w:rFonts w:ascii="华文楷体" w:hAnsi="华文楷体" w:eastAsia="华文楷体"/>
          <w:sz w:val="22"/>
        </w:rPr>
        <w:t>国家产业方向继续围绕人工智能、数据要素、算力网络、数字贸易和平台经济常态化监管展开。2026年国民经济和社会发展计划强调健全数据要素基础制度、建设全国一体化数据市场、推进数据流通利用基础设施，并推动平台企业与平台内经营者、劳动者共赢发展。</w:t>
      </w:r>
    </w:p>
    <w:p>
      <w:r>
        <w:rPr>
          <w:rFonts w:ascii="华文楷体" w:hAnsi="华文楷体" w:eastAsia="华文楷体"/>
          <w:sz w:val="22"/>
        </w:rPr>
        <w:t>对互联网企业的影响是两面：一方面，AI办公、AI客服、AI营销、AI电商、AI视频、工业智能体等应用会获得更多场景牵引；另一方面，平台型企业必须把支付结算、数据合规、商户管理和劳动者权益纳入经营底座。银行机会不只在单户授信，更在围绕平台生态做账户、结算、票据、供应链和小微批量获客。</w:t>
      </w:r>
    </w:p>
    <w:p>
      <w:pPr>
        <w:pStyle w:val="Heading2"/>
      </w:pPr>
      <w:r>
        <w:rPr>
          <w:rFonts w:ascii="华文楷体" w:hAnsi="华文楷体" w:eastAsia="华文楷体"/>
          <w:sz w:val="22"/>
        </w:rPr>
        <w:t>3. AI时代互联网行业发展趋势</w:t>
      </w:r>
    </w:p>
    <w:p>
      <w:r>
        <w:rPr>
          <w:rFonts w:ascii="华文楷体" w:hAnsi="华文楷体" w:eastAsia="华文楷体"/>
          <w:sz w:val="22"/>
        </w:rPr>
        <w:t>行业处于“AI化上行、传统流量分化、通用SaaS重构”的阶段。AI正在改变搜索、广告投放、商品内容生成、客服、办公自动化、游戏生产、短视频制作和企业服务交付。通用SaaS的价值点从“流程上线”转向“结果交付”，AI Agent把部分人工运营和低代码配置变成自动执行，SaaS企业需要重新证明续费率和单位经济模型。</w:t>
      </w:r>
    </w:p>
    <w:p>
      <w:r>
        <w:rPr>
          <w:rFonts w:ascii="华文楷体" w:hAnsi="华文楷体" w:eastAsia="华文楷体"/>
          <w:sz w:val="22"/>
        </w:rPr>
        <w:t>资本仍在向AI集中。公开报道显示，一季度中国AI领域融资事件接近600起、融资总额超过1100亿元；5月国产大模型仍有大额融资和商业化动作。银行应重点关注三类企业：一是有真实企业客户和回款的AI应用公司；二是能承接政企数字化和行业大模型项目的数据/软件服务商；三是平台生态型企业，可带动开发者、ISV、商户和服务商批量经营。</w:t>
      </w:r>
    </w:p>
    <w:p>
      <w:r>
        <w:rPr>
          <w:rFonts w:ascii="华文楷体" w:hAnsi="华文楷体" w:eastAsia="华文楷体"/>
          <w:sz w:val="22"/>
        </w:rPr>
        <w:t>风险主要在四个方向：模型调用成本波动、商业化收入滞后、内容和数据合规成本上升、应收账款与云资源预付造成现金流错配。</w:t>
      </w:r>
    </w:p>
    <w:p>
      <w:pPr>
        <w:pStyle w:val="Heading2"/>
      </w:pPr>
      <w:r>
        <w:rPr>
          <w:rFonts w:ascii="华文楷体" w:hAnsi="华文楷体" w:eastAsia="华文楷体"/>
          <w:sz w:val="22"/>
        </w:rPr>
        <w:t>4. AI Token消费生态链与上下游动态</w:t>
      </w:r>
    </w:p>
    <w:p>
      <w:r>
        <w:rPr>
          <w:rFonts w:ascii="华文楷体" w:hAnsi="华文楷体" w:eastAsia="华文楷体"/>
          <w:sz w:val="22"/>
        </w:rPr>
        <w:t>Token正在从技术指标变成经营指标。运营商、云厂商和模型平台围绕Token套餐、模型API价格、算力租赁和MaaS服务展开竞争；大模型厂商低价策略提升调用量，但也把现金流压力传导给云资源、推理集群和应用开发企业。</w:t>
      </w:r>
    </w:p>
    <w:p>
      <w:r>
        <w:rPr>
          <w:rFonts w:ascii="华文楷体" w:hAnsi="华文楷体" w:eastAsia="华文楷体"/>
          <w:sz w:val="22"/>
        </w:rPr>
        <w:t>上游看，GPU、AI服务器、IDC、液冷、网络和云资源仍是资金密集环节，适合项目融资、平安租赁、银团融资、债券承销和科技创新及技术更新改造再贷款。中游看，大模型、MaaS、Agent平台和数据治理企业需要持续研发、算力预付和客户项目垫资，适合科创贷、短贷、资产池和票据。下游看，AI电商、AI营销、AI客服、AI视频、AI办公和游戏企业更容易形成高频订阅、广告回款和跨境收款场景，适合慧收款、数字财资、平安结算通、跨境支付结算和平安避险。</w:t>
      </w:r>
    </w:p>
    <w:p>
      <w:pPr>
        <w:pStyle w:val="Heading1"/>
      </w:pPr>
      <w:r>
        <w:rPr>
          <w:rFonts w:ascii="华文楷体" w:hAnsi="华文楷体" w:eastAsia="华文楷体"/>
          <w:sz w:val="22"/>
        </w:rPr>
        <w:t>二、浙江地区动态与区域机会</w:t>
      </w:r>
    </w:p>
    <w:p>
      <w:pPr>
        <w:pStyle w:val="Heading2"/>
      </w:pPr>
      <w:r>
        <w:rPr>
          <w:rFonts w:ascii="华文楷体" w:hAnsi="华文楷体" w:eastAsia="华文楷体"/>
          <w:sz w:val="22"/>
        </w:rPr>
        <w:t>1. 浙江政策与政府规划</w:t>
      </w:r>
    </w:p>
    <w:p>
      <w:r>
        <w:rPr>
          <w:rFonts w:ascii="华文楷体" w:hAnsi="华文楷体" w:eastAsia="华文楷体"/>
          <w:sz w:val="22"/>
        </w:rPr>
        <w:t>浙江本周最强信号是“场景开放”和“杭州AI第一城”。浙江省近期印发加快新场景建设应用方案，围绕前沿科技创新、产业转型升级、行业智慧监管、高效社会治理、普惠民生服务等方向，提出打造“524X”场景体系，人工智能、全空间无人体系、海洋经济等被纳入重点领域。到2027年，浙江计划每年开放150个以上场景、培育100家以上场景创新标杆企业，带动有效投资3000亿元以上。</w:t>
      </w:r>
    </w:p>
    <w:p>
      <w:r>
        <w:rPr>
          <w:rFonts w:ascii="华文楷体" w:hAnsi="华文楷体" w:eastAsia="华文楷体"/>
          <w:sz w:val="22"/>
        </w:rPr>
        <w:t>杭州在5月19日新闻发布会上进一步明确智能经济方向，提出制定人工智能产业发展促进条例，推进国家数据要素综合试验区和国家数据产业集聚区探索，探索Token创新基地和结算枢纽建设运营机制，并推动杭州技术、产品和标准出海。5月23日，2026全球人工智能技术大会在杭州未来科技城举行，发布人工智能关键能力清单、科研基金和创新创业大赛等安排。</w:t>
      </w:r>
    </w:p>
    <w:p>
      <w:r>
        <w:rPr>
          <w:rFonts w:ascii="华文楷体" w:hAnsi="华文楷体" w:eastAsia="华文楷体"/>
          <w:sz w:val="22"/>
        </w:rPr>
        <w:t>这些信号对本地互联网企业的影响很直接：政府和大型企业会持续释放AI+制造、AI+城市、AI+贸易、AI+内容、AI+教育等场景，杭州、宁波、温州、绍兴、嘉兴等地的软件服务商、AI应用公司和平台型企业会出现项目垫资、设备采购、云资源预付和账期管理需求。</w:t>
      </w:r>
    </w:p>
    <w:p>
      <w:pPr>
        <w:pStyle w:val="Heading2"/>
      </w:pPr>
      <w:r>
        <w:rPr>
          <w:rFonts w:ascii="华文楷体" w:hAnsi="华文楷体" w:eastAsia="华文楷体"/>
          <w:sz w:val="22"/>
        </w:rPr>
        <w:t>2. 浙江重点产业与区域机会</w:t>
      </w:r>
    </w:p>
    <w:p>
      <w:r>
        <w:rPr>
          <w:rFonts w:ascii="华文楷体" w:hAnsi="华文楷体" w:eastAsia="华文楷体"/>
          <w:sz w:val="22"/>
        </w:rPr>
        <w:t>杭州仍是第一优先区域，重点扫客方向包括大模型、AI Agent、云计算、空间智能、AI电商、跨境SaaS、游戏内容和平台结算。余杭、滨江、上城、萧山和钱塘适合围绕AI企业、平台经济、数字贸易和智能制造服务商做名单化经营。</w:t>
      </w:r>
    </w:p>
    <w:p>
      <w:r>
        <w:rPr>
          <w:rFonts w:ascii="华文楷体" w:hAnsi="华文楷体" w:eastAsia="华文楷体"/>
          <w:sz w:val="22"/>
        </w:rPr>
        <w:t>宁波、温州、绍兴、嘉兴和金华的机会更偏“产业+互联网”：工业软件、跨境电商、直播电商、产业带数字化、供应链平台和AI营销工具。浙江制造企业数字化升级会带动SaaS订阅、工业智能体、数据治理、设备租赁、订单融资和票据贴现需求。</w:t>
      </w:r>
    </w:p>
    <w:p>
      <w:r>
        <w:rPr>
          <w:rFonts w:ascii="华文楷体" w:hAnsi="华文楷体" w:eastAsia="华文楷体"/>
          <w:sz w:val="22"/>
        </w:rPr>
        <w:t>跨境方向继续值得看。杭州是跨境电商综试区起点，AI选品、AI多语种内容、海外广告投放、海外仓协同和合规支付结算正在把传统外贸升级为数字贸易服务链。对银行而言，跨境结算、外币存款、跨境资金管理、人民币国际证+福费廷、平安避险和新银关通可以组合切入。</w:t>
      </w:r>
    </w:p>
    <w:p>
      <w:pPr>
        <w:pStyle w:val="Heading2"/>
      </w:pPr>
      <w:r>
        <w:rPr>
          <w:rFonts w:ascii="华文楷体" w:hAnsi="华文楷体" w:eastAsia="华文楷体"/>
          <w:sz w:val="22"/>
        </w:rPr>
        <w:t>3. 浙江AI Token消费生态链与上下游动态</w:t>
      </w:r>
    </w:p>
    <w:p>
      <w:r>
        <w:rPr>
          <w:rFonts w:ascii="华文楷体" w:hAnsi="华文楷体" w:eastAsia="华文楷体"/>
          <w:sz w:val="22"/>
        </w:rPr>
        <w:t>浙江本地的Token生态链具备“模型入口 + 云服务 + SaaS应用 + 电商与内容场景”的完整结构。DeepSeek、阿里云、蚂蚁、网易、群核科技、有赞、涂鸦智能等企业分别对应模型、云、支付与平台、游戏内容、空间智能、电商SaaS和AIoT场景。</w:t>
      </w:r>
    </w:p>
    <w:p>
      <w:r>
        <w:rPr>
          <w:rFonts w:ascii="华文楷体" w:hAnsi="华文楷体" w:eastAsia="华文楷体"/>
          <w:sz w:val="22"/>
        </w:rPr>
        <w:t>上游和中游的资金占用集中在算力、云资源、研发人员和数据治理；下游资金占用集中在客户账期、订阅续费、广告投放、海外回款和平台分账。银行可以用核心平台带生态的方式经营：围绕阿里云云市场、群核设计生态、有赞商家生态、涂鸦开发者生态和跨境卖家生态，做结算账户、平台数字贷、票据贴现开放银行、供应链融资和代发。</w:t>
      </w:r>
    </w:p>
    <w:p>
      <w:pPr>
        <w:pStyle w:val="Heading2"/>
      </w:pPr>
      <w:r>
        <w:rPr>
          <w:rFonts w:ascii="华文楷体" w:hAnsi="华文楷体" w:eastAsia="华文楷体"/>
          <w:sz w:val="22"/>
        </w:rPr>
        <w:t>4. 银行展业机会</w:t>
      </w:r>
    </w:p>
    <w:p>
      <w:r>
        <w:rPr>
          <w:rFonts w:ascii="华文楷体" w:hAnsi="华文楷体" w:eastAsia="华文楷体"/>
          <w:sz w:val="22"/>
        </w:rPr>
        <w:t>1. AI应用和SaaS企业的研发与云资源预付：用普惠金融科创贷、短贷、资产池和数字财资切入，重点关注DeepSeek生态、群核科技、有赞、涂鸦智能及其服务商。</w:t>
      </w:r>
    </w:p>
    <w:p>
      <w:r>
        <w:rPr>
          <w:rFonts w:ascii="华文楷体" w:hAnsi="华文楷体" w:eastAsia="华文楷体"/>
          <w:sz w:val="22"/>
        </w:rPr>
        <w:t>2. 平台生态结算和批量获客：围绕阿里云云市场、有赞商家、群核设计师与装修服务商、涂鸦开发者，用平安结算通、产业结算通、慧收款、平台数字贷和票据贴现开放银行做生态方案。</w:t>
      </w:r>
    </w:p>
    <w:p>
      <w:r>
        <w:rPr>
          <w:rFonts w:ascii="华文楷体" w:hAnsi="华文楷体" w:eastAsia="华文楷体"/>
          <w:sz w:val="22"/>
        </w:rPr>
        <w:t>3. 跨境互联网与数字贸易：杭州、金华、宁波产业带企业需要海外收款、汇率避险和海外资金管理，可组合跨境支付结算、外币存款、跨境资金管理、人民币国际证+福费廷和平安避险。</w:t>
      </w:r>
    </w:p>
    <w:p>
      <w:r>
        <w:rPr>
          <w:rFonts w:ascii="华文楷体" w:hAnsi="华文楷体" w:eastAsia="华文楷体"/>
          <w:sz w:val="22"/>
        </w:rPr>
        <w:t>4. 政企项目和场景开放项目：AI+制造、AI+城市、AI+教育、AI+监管等项目存在验收周期和账期，可用付融通、商票保贴、国内信用证、保函和短贷切入。</w:t>
      </w:r>
    </w:p>
    <w:p>
      <w:r>
        <w:rPr>
          <w:rFonts w:ascii="华文楷体" w:hAnsi="华文楷体" w:eastAsia="华文楷体"/>
          <w:sz w:val="22"/>
        </w:rPr>
        <w:t>5. 技术团队代发与企业主经营：AI企业技术人员集中、薪酬高，可用平安薪、口袋管家、私人理财权益和信用卡权益做员工与企业主服务。</w:t>
      </w:r>
    </w:p>
    <w:p>
      <w:pPr>
        <w:pStyle w:val="Heading1"/>
      </w:pPr>
      <w:r>
        <w:rPr>
          <w:rFonts w:ascii="华文楷体" w:hAnsi="华文楷体" w:eastAsia="华文楷体"/>
          <w:sz w:val="22"/>
        </w:rPr>
        <w:t>三、重点企业推荐</w:t>
      </w:r>
    </w:p>
    <w:p>
      <w:pPr>
        <w:pStyle w:val="Heading2"/>
      </w:pPr>
      <w:r>
        <w:rPr>
          <w:rFonts w:ascii="华文楷体" w:hAnsi="华文楷体" w:eastAsia="华文楷体"/>
          <w:sz w:val="22"/>
        </w:rPr>
        <w:t>企业名称:杭州深度求索人工智能基础技术研究有限公司（DeepSeek）</w:t>
      </w:r>
    </w:p>
    <w:p>
      <w:r>
        <w:rPr>
          <w:rFonts w:ascii="华文楷体" w:hAnsi="华文楷体" w:eastAsia="华文楷体"/>
          <w:sz w:val="22"/>
        </w:rPr>
        <w:t>推荐等级： 高</w:t>
      </w:r>
    </w:p>
    <w:p>
      <w:r>
        <w:rPr>
          <w:rFonts w:ascii="华文楷体" w:hAnsi="华文楷体" w:eastAsia="华文楷体"/>
          <w:sz w:val="22"/>
        </w:rPr>
        <w:t>所属赛道： 大模型 / AI Token消费 / 开源生态</w:t>
      </w:r>
    </w:p>
    <w:p>
      <w:r>
        <w:rPr>
          <w:rFonts w:ascii="华文楷体" w:hAnsi="华文楷体" w:eastAsia="华文楷体"/>
          <w:sz w:val="22"/>
        </w:rPr>
        <w:t>所在地区： 杭州</w:t>
      </w:r>
    </w:p>
    <w:p>
      <w:r>
        <w:rPr>
          <w:rFonts w:ascii="华文楷体" w:hAnsi="华文楷体" w:eastAsia="华文楷体"/>
          <w:sz w:val="22"/>
        </w:rPr>
        <w:t>产业链位置： 中游模型与平台</w:t>
      </w:r>
    </w:p>
    <w:p>
      <w:r>
        <w:rPr>
          <w:rFonts w:ascii="华文楷体" w:hAnsi="华文楷体" w:eastAsia="华文楷体"/>
          <w:sz w:val="22"/>
        </w:rPr>
        <w:t>推荐方向： 科创融资 / 流动资金 / 云资源预付 / 现金管理 / 代发</w:t>
      </w:r>
    </w:p>
    <w:p>
      <w:r>
        <w:rPr>
          <w:rFonts w:ascii="华文楷体" w:hAnsi="华文楷体" w:eastAsia="华文楷体"/>
          <w:sz w:val="22"/>
        </w:rPr>
        <w:t>企业关键信息:</w:t>
      </w:r>
    </w:p>
    <w:p>
      <w:r>
        <w:rPr>
          <w:rFonts w:ascii="华文楷体" w:hAnsi="华文楷体" w:eastAsia="华文楷体"/>
          <w:sz w:val="22"/>
        </w:rPr>
        <w:t>基本情况: 公司成立于杭州，聚焦大语言模型研发和API服务，商业模式包括模型开放、API调用和生态开发者服务。</w:t>
      </w:r>
    </w:p>
    <w:p>
      <w:r>
        <w:rPr>
          <w:rFonts w:ascii="华文楷体" w:hAnsi="华文楷体" w:eastAsia="华文楷体"/>
          <w:sz w:val="22"/>
        </w:rPr>
        <w:t>高层与团队背景: 创始人梁文锋公开资料显示为浙江大学相关专业背景，同时参与创办幻方量化；团队以研究员和工程师为核心，公开信息显示高校背景密集，更多核心成员信息未完全披露。</w:t>
      </w:r>
    </w:p>
    <w:p>
      <w:r>
        <w:rPr>
          <w:rFonts w:ascii="华文楷体" w:hAnsi="华文楷体" w:eastAsia="华文楷体"/>
          <w:sz w:val="22"/>
        </w:rPr>
        <w:t>银行关注点: 技术密度高、品牌影响强、Token调用和算力资源需求大，但收入结构、客户集中度和融资安排仍需尽调。</w:t>
      </w:r>
    </w:p>
    <w:p>
      <w:r>
        <w:rPr>
          <w:rFonts w:ascii="华文楷体" w:hAnsi="华文楷体" w:eastAsia="华文楷体"/>
          <w:sz w:val="22"/>
        </w:rPr>
        <w:t>推荐理由:</w:t>
      </w:r>
    </w:p>
    <w:p>
      <w:r>
        <w:rPr>
          <w:rFonts w:ascii="华文楷体" w:hAnsi="华文楷体" w:eastAsia="华文楷体"/>
          <w:sz w:val="22"/>
        </w:rPr>
        <w:t>DeepSeek带动杭州大模型生态关注度，符合杭州AI第一城和Token创新基地建设方向。</w:t>
      </w:r>
    </w:p>
    <w:p>
      <w:r>
        <w:rPr>
          <w:rFonts w:ascii="华文楷体" w:hAnsi="华文楷体" w:eastAsia="华文楷体"/>
          <w:sz w:val="22"/>
        </w:rPr>
        <w:t>模型API价格和调用量变化会直接影响现金流、算力预付和云资源采购。</w:t>
      </w:r>
    </w:p>
    <w:p>
      <w:r>
        <w:rPr>
          <w:rFonts w:ascii="华文楷体" w:hAnsi="华文楷体" w:eastAsia="华文楷体"/>
          <w:sz w:val="22"/>
        </w:rPr>
        <w:t>开源生态可带动开发者、应用公司和行业解决方案服务商，具备生态型获客价值。</w:t>
      </w:r>
    </w:p>
    <w:p>
      <w:r>
        <w:rPr>
          <w:rFonts w:ascii="华文楷体" w:hAnsi="华文楷体" w:eastAsia="华文楷体"/>
          <w:sz w:val="22"/>
        </w:rPr>
        <w:t>银行展业机会:</w:t>
      </w:r>
    </w:p>
    <w:p>
      <w:r>
        <w:rPr>
          <w:rFonts w:ascii="华文楷体" w:hAnsi="华文楷体" w:eastAsia="华文楷体"/>
          <w:sz w:val="22"/>
        </w:rPr>
        <w:t>企业经营场景是模型研发、API商业化和生态服务，金融需求集中在研发人员薪酬、算力和云资源预付、企业客户账期、资金归集和团队代发。建议用普惠金融科创贷、短贷、数字财资、资产池和平安薪切入。</w:t>
      </w:r>
    </w:p>
    <w:p>
      <w:r>
        <w:rPr>
          <w:rFonts w:ascii="华文楷体" w:hAnsi="华文楷体" w:eastAsia="华文楷体"/>
          <w:sz w:val="22"/>
        </w:rPr>
        <w:t>推荐产品组合:</w:t>
      </w:r>
    </w:p>
    <w:p>
      <w:r>
        <w:rPr>
          <w:rFonts w:ascii="华文楷体" w:hAnsi="华文楷体" w:eastAsia="华文楷体"/>
          <w:sz w:val="22"/>
        </w:rPr>
        <w:t>建议以普惠金融科创贷和短贷作为主推产品，解决企业研发投入和算力资源预付带来的流动资金需求；配套数字财资、资产池和平安薪，用于资金管理、票据资产管理和技术团队代发。额度、期限、费率待沟通。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客户经理切入话术:</w:t>
      </w:r>
    </w:p>
    <w:p>
      <w:r>
        <w:rPr>
          <w:rFonts w:ascii="华文楷体" w:hAnsi="华文楷体" w:eastAsia="华文楷体"/>
          <w:sz w:val="22"/>
        </w:rPr>
        <w:t>“我们关注到杭州正在推进Token创新基地，模型API调用和算力预付会越来越像经营性现金流管理问题。想了解贵司今年API商业化和云资源投入节奏，看看是否能用科创贷、短贷和数字财资先做一套轻量方案。”</w:t>
      </w:r>
    </w:p>
    <w:p>
      <w:r>
        <w:rPr>
          <w:rFonts w:ascii="华文楷体" w:hAnsi="华文楷体" w:eastAsia="华文楷体"/>
          <w:sz w:val="22"/>
        </w:rPr>
        <w:t>风险提示:</w:t>
      </w:r>
    </w:p>
    <w:p>
      <w:r>
        <w:rPr>
          <w:rFonts w:ascii="华文楷体" w:hAnsi="华文楷体" w:eastAsia="华文楷体"/>
          <w:sz w:val="22"/>
        </w:rPr>
        <w:t>模型价格竞争、算力成本、数据合规、知识产权、客户结构和商业化收入仍需结合合同、流水、财报和尽调确认。</w:t>
      </w:r>
    </w:p>
    <w:p>
      <w:pPr>
        <w:pStyle w:val="Heading2"/>
      </w:pPr>
      <w:r>
        <w:rPr>
          <w:rFonts w:ascii="华文楷体" w:hAnsi="华文楷体" w:eastAsia="华文楷体"/>
          <w:sz w:val="22"/>
        </w:rPr>
        <w:t>企业名称:杭州群核信息技术有限公司（群核科技）</w:t>
      </w:r>
    </w:p>
    <w:p>
      <w:r>
        <w:rPr>
          <w:rFonts w:ascii="华文楷体" w:hAnsi="华文楷体" w:eastAsia="华文楷体"/>
          <w:sz w:val="22"/>
        </w:rPr>
        <w:t>推荐等级： 高</w:t>
      </w:r>
    </w:p>
    <w:p>
      <w:r>
        <w:rPr>
          <w:rFonts w:ascii="华文楷体" w:hAnsi="华文楷体" w:eastAsia="华文楷体"/>
          <w:sz w:val="22"/>
        </w:rPr>
        <w:t>所属赛道： AI SaaS / 空间智能 / 设计软件</w:t>
      </w:r>
    </w:p>
    <w:p>
      <w:r>
        <w:rPr>
          <w:rFonts w:ascii="华文楷体" w:hAnsi="华文楷体" w:eastAsia="华文楷体"/>
          <w:sz w:val="22"/>
        </w:rPr>
        <w:t>所在地区： 杭州</w:t>
      </w:r>
    </w:p>
    <w:p>
      <w:r>
        <w:rPr>
          <w:rFonts w:ascii="华文楷体" w:hAnsi="华文楷体" w:eastAsia="华文楷体"/>
          <w:sz w:val="22"/>
        </w:rPr>
        <w:t>产业链位置： 下游应用与场景 / 生态服务商</w:t>
      </w:r>
    </w:p>
    <w:p>
      <w:r>
        <w:rPr>
          <w:rFonts w:ascii="华文楷体" w:hAnsi="华文楷体" w:eastAsia="华文楷体"/>
          <w:sz w:val="22"/>
        </w:rPr>
        <w:t>推荐方向： 科创融资 / 现金管理 / 跨境结算 / 平台生态</w:t>
      </w:r>
    </w:p>
    <w:p>
      <w:r>
        <w:rPr>
          <w:rFonts w:ascii="华文楷体" w:hAnsi="华文楷体" w:eastAsia="华文楷体"/>
          <w:sz w:val="22"/>
        </w:rPr>
        <w:t>企业关键信息:</w:t>
      </w:r>
    </w:p>
    <w:p>
      <w:r>
        <w:rPr>
          <w:rFonts w:ascii="华文楷体" w:hAnsi="华文楷体" w:eastAsia="华文楷体"/>
          <w:sz w:val="22"/>
        </w:rPr>
        <w:t>基本情况: 公司以酷家乐等云设计软件起步，向空间智能、云渲染、合成数据和AI视频等方向延伸，服务家居、建筑、广告、电商和机器人训练等场景。</w:t>
      </w:r>
    </w:p>
    <w:p>
      <w:r>
        <w:rPr>
          <w:rFonts w:ascii="华文楷体" w:hAnsi="华文楷体" w:eastAsia="华文楷体"/>
          <w:sz w:val="22"/>
        </w:rPr>
        <w:t>高层与团队背景: 公开资料显示，创始团队黄晓煌、陈航、朱皓具备浙江大学和海外工程背景，黄晓煌长期专注计算机图形学和高性能计算，曾有海外科技企业经历。</w:t>
      </w:r>
    </w:p>
    <w:p>
      <w:r>
        <w:rPr>
          <w:rFonts w:ascii="华文楷体" w:hAnsi="华文楷体" w:eastAsia="华文楷体"/>
          <w:sz w:val="22"/>
        </w:rPr>
        <w:t>银行关注点: 公司已完成港股上市，技术与资本市场能见度提升；同时云渲染、AI视频和海外Coohom业务会带来云资源、订阅回款和跨境收款需求。</w:t>
      </w:r>
    </w:p>
    <w:p>
      <w:r>
        <w:rPr>
          <w:rFonts w:ascii="华文楷体" w:hAnsi="华文楷体" w:eastAsia="华文楷体"/>
          <w:sz w:val="22"/>
        </w:rPr>
        <w:t>推荐理由:</w:t>
      </w:r>
    </w:p>
    <w:p>
      <w:r>
        <w:rPr>
          <w:rFonts w:ascii="华文楷体" w:hAnsi="华文楷体" w:eastAsia="华文楷体"/>
          <w:sz w:val="22"/>
        </w:rPr>
        <w:t>空间智能是AI从文本走向物理世界的重要方向，群核科技具备云端CAD、渲染和3D空间数据积累。</w:t>
      </w:r>
    </w:p>
    <w:p>
      <w:r>
        <w:rPr>
          <w:rFonts w:ascii="华文楷体" w:hAnsi="华文楷体" w:eastAsia="华文楷体"/>
          <w:sz w:val="22"/>
        </w:rPr>
        <w:t>杭州场景开放和AI+制造、AI+家居、AI+内容会增加其行业解决方案机会。</w:t>
      </w:r>
    </w:p>
    <w:p>
      <w:r>
        <w:rPr>
          <w:rFonts w:ascii="华文楷体" w:hAnsi="华文楷体" w:eastAsia="华文楷体"/>
          <w:sz w:val="22"/>
        </w:rPr>
        <w:t>上市后供应商、客户和生态伙伴金融服务需求更清晰。</w:t>
      </w:r>
    </w:p>
    <w:p>
      <w:r>
        <w:rPr>
          <w:rFonts w:ascii="华文楷体" w:hAnsi="华文楷体" w:eastAsia="华文楷体"/>
          <w:sz w:val="22"/>
        </w:rPr>
        <w:t>银行展业机会:</w:t>
      </w:r>
    </w:p>
    <w:p>
      <w:r>
        <w:rPr>
          <w:rFonts w:ascii="华文楷体" w:hAnsi="华文楷体" w:eastAsia="华文楷体"/>
          <w:sz w:val="22"/>
        </w:rPr>
        <w:t>企业经营场景是SaaS订阅、云渲染、海外业务和空间智能平台，金融需求包括云资源预付、客户订阅回款管理、海外收款、供应商账期和员工代发。可用慧收款、数字财资、跨境支付结算、平安避险、普惠金融科创贷和短贷切入。</w:t>
      </w:r>
    </w:p>
    <w:p>
      <w:r>
        <w:rPr>
          <w:rFonts w:ascii="华文楷体" w:hAnsi="华文楷体" w:eastAsia="华文楷体"/>
          <w:sz w:val="22"/>
        </w:rPr>
        <w:t>推荐产品组合:</w:t>
      </w:r>
    </w:p>
    <w:p>
      <w:r>
        <w:rPr>
          <w:rFonts w:ascii="华文楷体" w:hAnsi="华文楷体" w:eastAsia="华文楷体"/>
          <w:sz w:val="22"/>
        </w:rPr>
        <w:t>建议以慧收款和数字财资作为主推产品，解决订阅回款、对账和多账户资金管理；配套普惠金融科创贷、短贷和跨境支付结算，用于云资源预付、研发投入和海外业务收款。额度、期限、费率待沟通。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客户经理切入话术:</w:t>
      </w:r>
    </w:p>
    <w:p>
      <w:r>
        <w:rPr>
          <w:rFonts w:ascii="华文楷体" w:hAnsi="华文楷体" w:eastAsia="华文楷体"/>
          <w:sz w:val="22"/>
        </w:rPr>
        <w:t>“群核从云设计走向空间智能后，订阅、云渲染和海外收款会同时增加。我们可以先从回款对账和跨境收款效率切入，再看研发投入和云资源预付是否需要短贷或科创贷支持。”</w:t>
      </w:r>
    </w:p>
    <w:p>
      <w:r>
        <w:rPr>
          <w:rFonts w:ascii="华文楷体" w:hAnsi="华文楷体" w:eastAsia="华文楷体"/>
          <w:sz w:val="22"/>
        </w:rPr>
        <w:t>风险提示:</w:t>
      </w:r>
    </w:p>
    <w:p>
      <w:r>
        <w:rPr>
          <w:rFonts w:ascii="华文楷体" w:hAnsi="华文楷体" w:eastAsia="华文楷体"/>
          <w:sz w:val="22"/>
        </w:rPr>
        <w:t>需关注SaaS续费率、海外业务合规、云资源成本、上市后业绩兑现和AI新业务商业化节奏。</w:t>
      </w:r>
    </w:p>
    <w:p>
      <w:pPr>
        <w:pStyle w:val="Heading2"/>
      </w:pPr>
      <w:r>
        <w:rPr>
          <w:rFonts w:ascii="华文楷体" w:hAnsi="华文楷体" w:eastAsia="华文楷体"/>
          <w:sz w:val="22"/>
        </w:rPr>
        <w:t>企业名称:杭州有赞科技有限公司（有赞）</w:t>
      </w:r>
    </w:p>
    <w:p>
      <w:r>
        <w:rPr>
          <w:rFonts w:ascii="华文楷体" w:hAnsi="华文楷体" w:eastAsia="华文楷体"/>
          <w:sz w:val="22"/>
        </w:rPr>
        <w:t>推荐等级： 中高</w:t>
      </w:r>
    </w:p>
    <w:p>
      <w:r>
        <w:rPr>
          <w:rFonts w:ascii="华文楷体" w:hAnsi="华文楷体" w:eastAsia="华文楷体"/>
          <w:sz w:val="22"/>
        </w:rPr>
        <w:t>所属赛道： 电商SaaS / AI营销 / 私域运营</w:t>
      </w:r>
    </w:p>
    <w:p>
      <w:r>
        <w:rPr>
          <w:rFonts w:ascii="华文楷体" w:hAnsi="华文楷体" w:eastAsia="华文楷体"/>
          <w:sz w:val="22"/>
        </w:rPr>
        <w:t>所在地区： 杭州</w:t>
      </w:r>
    </w:p>
    <w:p>
      <w:r>
        <w:rPr>
          <w:rFonts w:ascii="华文楷体" w:hAnsi="华文楷体" w:eastAsia="华文楷体"/>
          <w:sz w:val="22"/>
        </w:rPr>
        <w:t>产业链位置： 下游应用与场景 / 生态服务商</w:t>
      </w:r>
    </w:p>
    <w:p>
      <w:r>
        <w:rPr>
          <w:rFonts w:ascii="华文楷体" w:hAnsi="华文楷体" w:eastAsia="华文楷体"/>
          <w:sz w:val="22"/>
        </w:rPr>
        <w:t>推荐方向： 平台结算 / 现金管理 / 小微商户批量经营 / 代发</w:t>
      </w:r>
    </w:p>
    <w:p>
      <w:r>
        <w:rPr>
          <w:rFonts w:ascii="华文楷体" w:hAnsi="华文楷体" w:eastAsia="华文楷体"/>
          <w:sz w:val="22"/>
        </w:rPr>
        <w:t>企业关键信息:</w:t>
      </w:r>
    </w:p>
    <w:p>
      <w:r>
        <w:rPr>
          <w:rFonts w:ascii="华文楷体" w:hAnsi="华文楷体" w:eastAsia="华文楷体"/>
          <w:sz w:val="22"/>
        </w:rPr>
        <w:t>基本情况: 有赞服务零售商家和品牌商，提供电商SaaS、私域运营、营销工具和交易服务，AI正在进入客服、导购、商品内容和经营分析场景。</w:t>
      </w:r>
    </w:p>
    <w:p>
      <w:r>
        <w:rPr>
          <w:rFonts w:ascii="华文楷体" w:hAnsi="华文楷体" w:eastAsia="华文楷体"/>
          <w:sz w:val="22"/>
        </w:rPr>
        <w:t>高层与团队背景: 公开报道中CEO白鸦长期参与互联网产品和零售SaaS创业，核心团队更多履历需进一步核实。</w:t>
      </w:r>
    </w:p>
    <w:p>
      <w:r>
        <w:rPr>
          <w:rFonts w:ascii="华文楷体" w:hAnsi="华文楷体" w:eastAsia="华文楷体"/>
          <w:sz w:val="22"/>
        </w:rPr>
        <w:t>银行关注点: 有赞连接大量商家和交易数据，适合围绕商户收款、对账、融资和经营工具做平台生态合作。</w:t>
      </w:r>
    </w:p>
    <w:p>
      <w:r>
        <w:rPr>
          <w:rFonts w:ascii="华文楷体" w:hAnsi="华文楷体" w:eastAsia="华文楷体"/>
          <w:sz w:val="22"/>
        </w:rPr>
        <w:t>推荐理由:</w:t>
      </w:r>
    </w:p>
    <w:p>
      <w:r>
        <w:rPr>
          <w:rFonts w:ascii="华文楷体" w:hAnsi="华文楷体" w:eastAsia="华文楷体"/>
          <w:sz w:val="22"/>
        </w:rPr>
        <w:t>AI“618”大促元年使商家更关注自动化营销、客服降本和内容生成，SaaS工具价值点正在重构。</w:t>
      </w:r>
    </w:p>
    <w:p>
      <w:r>
        <w:rPr>
          <w:rFonts w:ascii="华文楷体" w:hAnsi="华文楷体" w:eastAsia="华文楷体"/>
          <w:sz w:val="22"/>
        </w:rPr>
        <w:t>私域和直播电商商家存在高频收款、退款、对账、广告投放和短期周转需求。</w:t>
      </w:r>
    </w:p>
    <w:p>
      <w:r>
        <w:rPr>
          <w:rFonts w:ascii="华文楷体" w:hAnsi="华文楷体" w:eastAsia="华文楷体"/>
          <w:sz w:val="22"/>
        </w:rPr>
        <w:t>有赞平台生态适合银行批量经营商户和服务商。</w:t>
      </w:r>
    </w:p>
    <w:p>
      <w:r>
        <w:rPr>
          <w:rFonts w:ascii="华文楷体" w:hAnsi="华文楷体" w:eastAsia="华文楷体"/>
          <w:sz w:val="22"/>
        </w:rPr>
        <w:t>银行展业机会:</w:t>
      </w:r>
    </w:p>
    <w:p>
      <w:r>
        <w:rPr>
          <w:rFonts w:ascii="华文楷体" w:hAnsi="华文楷体" w:eastAsia="华文楷体"/>
          <w:sz w:val="22"/>
        </w:rPr>
        <w:t>企业经营场景是商家交易、SaaS订阅和AI营销工具，金融需求包括交易收款、自动对账、商户短期周转、广告投放资金和员工代发。可用慧收款、平安结算通、平台数字贷、普惠金融场景化方案和平安薪切入。</w:t>
      </w:r>
    </w:p>
    <w:p>
      <w:r>
        <w:rPr>
          <w:rFonts w:ascii="华文楷体" w:hAnsi="华文楷体" w:eastAsia="华文楷体"/>
          <w:sz w:val="22"/>
        </w:rPr>
        <w:t>推荐产品组合:</w:t>
      </w:r>
    </w:p>
    <w:p>
      <w:r>
        <w:rPr>
          <w:rFonts w:ascii="华文楷体" w:hAnsi="华文楷体" w:eastAsia="华文楷体"/>
          <w:sz w:val="22"/>
        </w:rPr>
        <w:t>建议以慧收款和平安结算通作为主推产品，解决商家交易收款、分账和对账问题；配套平台数字贷、普惠金融场景化方案和平安薪，用于商户周转和企业员工服务。额度、期限、费率待沟通。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客户经理切入话术:</w:t>
      </w:r>
    </w:p>
    <w:p>
      <w:r>
        <w:rPr>
          <w:rFonts w:ascii="华文楷体" w:hAnsi="华文楷体" w:eastAsia="华文楷体"/>
          <w:sz w:val="22"/>
        </w:rPr>
        <w:t>“今年AI营销和智能客服会让商家更关注成本效率，但交易收款、退款和对账仍是基础痛点。我们希望和有赞一起梳理商家收款及融资场景，看是否能做平台化结算和小微批量授信。”</w:t>
      </w:r>
    </w:p>
    <w:p>
      <w:r>
        <w:rPr>
          <w:rFonts w:ascii="华文楷体" w:hAnsi="华文楷体" w:eastAsia="华文楷体"/>
          <w:sz w:val="22"/>
        </w:rPr>
        <w:t>风险提示:</w:t>
      </w:r>
    </w:p>
    <w:p>
      <w:r>
        <w:rPr>
          <w:rFonts w:ascii="华文楷体" w:hAnsi="华文楷体" w:eastAsia="华文楷体"/>
          <w:sz w:val="22"/>
        </w:rPr>
        <w:t>需关注SaaS续费率、商户活跃度、平台合规、支付结算边界、广告投放回报和中小商户违约风险。</w:t>
      </w:r>
    </w:p>
    <w:p>
      <w:pPr>
        <w:pStyle w:val="Heading2"/>
      </w:pPr>
      <w:r>
        <w:rPr>
          <w:rFonts w:ascii="华文楷体" w:hAnsi="华文楷体" w:eastAsia="华文楷体"/>
          <w:sz w:val="22"/>
        </w:rPr>
        <w:t>企业名称:杭州涂鸦科技有限公司（涂鸦智能）</w:t>
      </w:r>
    </w:p>
    <w:p>
      <w:r>
        <w:rPr>
          <w:rFonts w:ascii="华文楷体" w:hAnsi="华文楷体" w:eastAsia="华文楷体"/>
          <w:sz w:val="22"/>
        </w:rPr>
        <w:t>推荐等级： 中高</w:t>
      </w:r>
    </w:p>
    <w:p>
      <w:r>
        <w:rPr>
          <w:rFonts w:ascii="华文楷体" w:hAnsi="华文楷体" w:eastAsia="华文楷体"/>
          <w:sz w:val="22"/>
        </w:rPr>
        <w:t>所属赛道： AIoT / 云平台 / 开发者生态</w:t>
      </w:r>
    </w:p>
    <w:p>
      <w:r>
        <w:rPr>
          <w:rFonts w:ascii="华文楷体" w:hAnsi="华文楷体" w:eastAsia="华文楷体"/>
          <w:sz w:val="22"/>
        </w:rPr>
        <w:t>所在地区： 杭州</w:t>
      </w:r>
    </w:p>
    <w:p>
      <w:r>
        <w:rPr>
          <w:rFonts w:ascii="华文楷体" w:hAnsi="华文楷体" w:eastAsia="华文楷体"/>
          <w:sz w:val="22"/>
        </w:rPr>
        <w:t>产业链位置： 中游平台 / 生态服务商</w:t>
      </w:r>
    </w:p>
    <w:p>
      <w:r>
        <w:rPr>
          <w:rFonts w:ascii="华文楷体" w:hAnsi="华文楷体" w:eastAsia="华文楷体"/>
          <w:sz w:val="22"/>
        </w:rPr>
        <w:t>推荐方向： 跨境结算 / 供应链金融 / 现金管理 / 开发者生态</w:t>
      </w:r>
    </w:p>
    <w:p>
      <w:r>
        <w:rPr>
          <w:rFonts w:ascii="华文楷体" w:hAnsi="华文楷体" w:eastAsia="华文楷体"/>
          <w:sz w:val="22"/>
        </w:rPr>
        <w:t>企业关键信息:</w:t>
      </w:r>
    </w:p>
    <w:p>
      <w:r>
        <w:rPr>
          <w:rFonts w:ascii="华文楷体" w:hAnsi="华文楷体" w:eastAsia="华文楷体"/>
          <w:sz w:val="22"/>
        </w:rPr>
        <w:t>基本情况: 涂鸦智能总部位于杭州，面向智能家居和IoT设备提供AI云平台、PaaS、SaaS和增值服务，连接设备厂商、品牌商和开发者。</w:t>
      </w:r>
    </w:p>
    <w:p>
      <w:r>
        <w:rPr>
          <w:rFonts w:ascii="华文楷体" w:hAnsi="华文楷体" w:eastAsia="华文楷体"/>
          <w:sz w:val="22"/>
        </w:rPr>
        <w:t>高层与团队背景: 公开资料显示创始人王学集曾有互联网创业和阿里相关产业经历，其他核心成员履历待核实。</w:t>
      </w:r>
    </w:p>
    <w:p>
      <w:r>
        <w:rPr>
          <w:rFonts w:ascii="华文楷体" w:hAnsi="华文楷体" w:eastAsia="华文楷体"/>
          <w:sz w:val="22"/>
        </w:rPr>
        <w:t>银行关注点: 平台连接开发者、设备商和海外品牌，具备跨境收款、供应链融资、平台结算和批量获客价值。</w:t>
      </w:r>
    </w:p>
    <w:p>
      <w:r>
        <w:rPr>
          <w:rFonts w:ascii="华文楷体" w:hAnsi="华文楷体" w:eastAsia="华文楷体"/>
          <w:sz w:val="22"/>
        </w:rPr>
        <w:t>推荐理由:</w:t>
      </w:r>
    </w:p>
    <w:p>
      <w:r>
        <w:rPr>
          <w:rFonts w:ascii="华文楷体" w:hAnsi="华文楷体" w:eastAsia="华文楷体"/>
          <w:sz w:val="22"/>
        </w:rPr>
        <w:t>端侧AI和AIoT是AI应用落地的重要方向，智能硬件出海会带动设备采购、模组供应和海外收款。</w:t>
      </w:r>
    </w:p>
    <w:p>
      <w:r>
        <w:rPr>
          <w:rFonts w:ascii="华文楷体" w:hAnsi="华文楷体" w:eastAsia="华文楷体"/>
          <w:sz w:val="22"/>
        </w:rPr>
        <w:t>涂鸦的开发者和设备生态适合银行围绕上下游做批量服务。</w:t>
      </w:r>
    </w:p>
    <w:p>
      <w:r>
        <w:rPr>
          <w:rFonts w:ascii="华文楷体" w:hAnsi="华文楷体" w:eastAsia="华文楷体"/>
          <w:sz w:val="22"/>
        </w:rPr>
        <w:t>浙江制造与智能家居产业链完整，有利于其生态客户扩张。</w:t>
      </w:r>
    </w:p>
    <w:p>
      <w:r>
        <w:rPr>
          <w:rFonts w:ascii="华文楷体" w:hAnsi="华文楷体" w:eastAsia="华文楷体"/>
          <w:sz w:val="22"/>
        </w:rPr>
        <w:t>银行展业机会:</w:t>
      </w:r>
    </w:p>
    <w:p>
      <w:r>
        <w:rPr>
          <w:rFonts w:ascii="华文楷体" w:hAnsi="华文楷体" w:eastAsia="华文楷体"/>
          <w:sz w:val="22"/>
        </w:rPr>
        <w:t>企业经营场景是云平台订阅、设备生态和海外客户服务，金融需求包括跨境收款、外汇避险、供应商账期、订单融资、平台资金管理和开发者生态结算。可用跨境支付结算、外币存款、平安避险、付融通、订单融资、数字财资和平安结算通切入。</w:t>
      </w:r>
    </w:p>
    <w:p>
      <w:r>
        <w:rPr>
          <w:rFonts w:ascii="华文楷体" w:hAnsi="华文楷体" w:eastAsia="华文楷体"/>
          <w:sz w:val="22"/>
        </w:rPr>
        <w:t>推荐产品组合:</w:t>
      </w:r>
    </w:p>
    <w:p>
      <w:r>
        <w:rPr>
          <w:rFonts w:ascii="华文楷体" w:hAnsi="华文楷体" w:eastAsia="华文楷体"/>
          <w:sz w:val="22"/>
        </w:rPr>
        <w:t>建议以跨境支付结算和平安避险作为主推产品，解决海外客户回款和汇率风险；配套付融通、订单融资、数字财资和平安结算通，用于供应链账期、生态结算和资金管理。额度、期限、费率待沟通。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客户经理切入话术:</w:t>
      </w:r>
    </w:p>
    <w:p>
      <w:r>
        <w:rPr>
          <w:rFonts w:ascii="华文楷体" w:hAnsi="华文楷体" w:eastAsia="华文楷体"/>
          <w:sz w:val="22"/>
        </w:rPr>
        <w:t>“端侧AI和智能硬件出海会让海外回款、汇率和供应链账期变得更重要。我们可以先看贵司海外客户和生态伙伴的结算链路，再设计跨境结算、避险和供应链融资组合。”</w:t>
      </w:r>
    </w:p>
    <w:p>
      <w:r>
        <w:rPr>
          <w:rFonts w:ascii="华文楷体" w:hAnsi="华文楷体" w:eastAsia="华文楷体"/>
          <w:sz w:val="22"/>
        </w:rPr>
        <w:t>风险提示:</w:t>
      </w:r>
    </w:p>
    <w:p>
      <w:r>
        <w:rPr>
          <w:rFonts w:ascii="华文楷体" w:hAnsi="华文楷体" w:eastAsia="华文楷体"/>
          <w:sz w:val="22"/>
        </w:rPr>
        <w:t>需关注海外合规、客户集中度、硬件产业链波动、平台服务收入稳定性和汇率风险。</w:t>
      </w:r>
    </w:p>
    <w:p>
      <w:pPr>
        <w:pStyle w:val="Heading2"/>
      </w:pPr>
      <w:r>
        <w:rPr>
          <w:rFonts w:ascii="华文楷体" w:hAnsi="华文楷体" w:eastAsia="华文楷体"/>
          <w:sz w:val="22"/>
        </w:rPr>
        <w:t>企业名称:阿里云计算有限公司</w:t>
      </w:r>
    </w:p>
    <w:p>
      <w:r>
        <w:rPr>
          <w:rFonts w:ascii="华文楷体" w:hAnsi="华文楷体" w:eastAsia="华文楷体"/>
          <w:sz w:val="22"/>
        </w:rPr>
        <w:t>推荐等级： 高</w:t>
      </w:r>
    </w:p>
    <w:p>
      <w:r>
        <w:rPr>
          <w:rFonts w:ascii="华文楷体" w:hAnsi="华文楷体" w:eastAsia="华文楷体"/>
          <w:sz w:val="22"/>
        </w:rPr>
        <w:t>所属赛道： 云计算 / MaaS / AI基础设施</w:t>
      </w:r>
    </w:p>
    <w:p>
      <w:r>
        <w:rPr>
          <w:rFonts w:ascii="华文楷体" w:hAnsi="华文楷体" w:eastAsia="华文楷体"/>
          <w:sz w:val="22"/>
        </w:rPr>
        <w:t>所在地区： 杭州</w:t>
      </w:r>
    </w:p>
    <w:p>
      <w:r>
        <w:rPr>
          <w:rFonts w:ascii="华文楷体" w:hAnsi="华文楷体" w:eastAsia="华文楷体"/>
          <w:sz w:val="22"/>
        </w:rPr>
        <w:t>产业链位置： 上游算力与云服务 / 中游模型平台</w:t>
      </w:r>
    </w:p>
    <w:p>
      <w:r>
        <w:rPr>
          <w:rFonts w:ascii="华文楷体" w:hAnsi="华文楷体" w:eastAsia="华文楷体"/>
          <w:sz w:val="22"/>
        </w:rPr>
        <w:t>推荐方向： 生态结算 / 供应链金融 / 现金管理 / 综合金融</w:t>
      </w:r>
    </w:p>
    <w:p>
      <w:r>
        <w:rPr>
          <w:rFonts w:ascii="华文楷体" w:hAnsi="华文楷体" w:eastAsia="华文楷体"/>
          <w:sz w:val="22"/>
        </w:rPr>
        <w:t>企业关键信息:</w:t>
      </w:r>
    </w:p>
    <w:p>
      <w:r>
        <w:rPr>
          <w:rFonts w:ascii="华文楷体" w:hAnsi="华文楷体" w:eastAsia="华文楷体"/>
          <w:sz w:val="22"/>
        </w:rPr>
        <w:t>基本情况: 阿里云是国内头部云计算和MaaS平台，服务企业上云、模型调用、数据智能、云市场和开发者生态。</w:t>
      </w:r>
    </w:p>
    <w:p>
      <w:r>
        <w:rPr>
          <w:rFonts w:ascii="华文楷体" w:hAnsi="华文楷体" w:eastAsia="华文楷体"/>
          <w:sz w:val="22"/>
        </w:rPr>
        <w:t>高层与团队背景: 阿里云管理层与阿里集团技术、产品和企业服务体系关系紧密，具体业务负责人需按拜访对象进一步核实。</w:t>
      </w:r>
    </w:p>
    <w:p>
      <w:r>
        <w:rPr>
          <w:rFonts w:ascii="华文楷体" w:hAnsi="华文楷体" w:eastAsia="华文楷体"/>
          <w:sz w:val="22"/>
        </w:rPr>
        <w:t>银行关注点: 单户授信不是唯一重点，更应围绕云市场ISV、开发者、渠道商和企业客户做生态经营。</w:t>
      </w:r>
    </w:p>
    <w:p>
      <w:r>
        <w:rPr>
          <w:rFonts w:ascii="华文楷体" w:hAnsi="华文楷体" w:eastAsia="华文楷体"/>
          <w:sz w:val="22"/>
        </w:rPr>
        <w:t>推荐理由:</w:t>
      </w:r>
    </w:p>
    <w:p>
      <w:r>
        <w:rPr>
          <w:rFonts w:ascii="华文楷体" w:hAnsi="华文楷体" w:eastAsia="华文楷体"/>
          <w:sz w:val="22"/>
        </w:rPr>
        <w:t>Token套餐和MaaS商业化使云厂商成为AI Token消费链的关键平台。</w:t>
      </w:r>
    </w:p>
    <w:p>
      <w:r>
        <w:rPr>
          <w:rFonts w:ascii="华文楷体" w:hAnsi="华文楷体" w:eastAsia="华文楷体"/>
          <w:sz w:val="22"/>
        </w:rPr>
        <w:t>云市场生态聚合大量AI应用、SaaS和数据服务商，适合批量筛选优质小微和科创客户。</w:t>
      </w:r>
    </w:p>
    <w:p>
      <w:r>
        <w:rPr>
          <w:rFonts w:ascii="华文楷体" w:hAnsi="华文楷体" w:eastAsia="华文楷体"/>
          <w:sz w:val="22"/>
        </w:rPr>
        <w:t>杭州推进Token创新基地和结算枢纽，有利于云平台、模型平台和企业用户形成结算场景。</w:t>
      </w:r>
    </w:p>
    <w:p>
      <w:r>
        <w:rPr>
          <w:rFonts w:ascii="华文楷体" w:hAnsi="华文楷体" w:eastAsia="华文楷体"/>
          <w:sz w:val="22"/>
        </w:rPr>
        <w:t>银行展业机会:</w:t>
      </w:r>
    </w:p>
    <w:p>
      <w:r>
        <w:rPr>
          <w:rFonts w:ascii="华文楷体" w:hAnsi="华文楷体" w:eastAsia="华文楷体"/>
          <w:sz w:val="22"/>
        </w:rPr>
        <w:t>企业经营场景是云服务、云市场和AI生态，金融需求集中在生态伙伴结算、ISV融资、开发者收款、供应商票据和资金管理。可用数字财资、产业结算通、平安结算通、平台数字贷、票据贴现开放银行和资产池切入。</w:t>
      </w:r>
    </w:p>
    <w:p>
      <w:r>
        <w:rPr>
          <w:rFonts w:ascii="华文楷体" w:hAnsi="华文楷体" w:eastAsia="华文楷体"/>
          <w:sz w:val="22"/>
        </w:rPr>
        <w:t>推荐产品组合:</w:t>
      </w:r>
    </w:p>
    <w:p>
      <w:r>
        <w:rPr>
          <w:rFonts w:ascii="华文楷体" w:hAnsi="华文楷体" w:eastAsia="华文楷体"/>
          <w:sz w:val="22"/>
        </w:rPr>
        <w:t>建议以产业结算通和数字财资作为主推产品，解决云市场生态资金归集、分账和多账户管理；配套平台数字贷、票据贴现开放银行和资产池，用于生态伙伴融资和票据资产管理。额度、期限、费率待沟通。</w:t>
      </w:r>
    </w:p>
    <w:p>
      <w:r>
        <w:rPr>
          <w:rFonts w:ascii="华文楷体" w:hAnsi="华文楷体" w:eastAsia="华文楷体"/>
          <w:sz w:val="22"/>
        </w:rPr>
        <w:t>客户经理切入话术:</w:t>
      </w:r>
    </w:p>
    <w:p>
      <w:r>
        <w:rPr>
          <w:rFonts w:ascii="华文楷体" w:hAnsi="华文楷体" w:eastAsia="华文楷体"/>
          <w:sz w:val="22"/>
        </w:rPr>
        <w:t>“AI应用普及后，云市场里的ISV和开发者会出现更高频的收款、分账和短期周转需求。我们希望从生态伙伴结算和票据贴现能力切入，帮助阿里云生态提高资金周转效率。”</w:t>
      </w:r>
    </w:p>
    <w:p>
      <w:r>
        <w:rPr>
          <w:rFonts w:ascii="华文楷体" w:hAnsi="华文楷体" w:eastAsia="华文楷体"/>
          <w:sz w:val="22"/>
        </w:rPr>
        <w:t>风险提示:</w:t>
      </w:r>
    </w:p>
    <w:p>
      <w:r>
        <w:rPr>
          <w:rFonts w:ascii="华文楷体" w:hAnsi="华文楷体" w:eastAsia="华文楷体"/>
          <w:sz w:val="22"/>
        </w:rPr>
        <w:t>需关注云服务价格竞争、生态伙伴质量分层、数据安全、平台支付合规和大客户议价能力。</w:t>
      </w:r>
    </w:p>
    <w:p>
      <w:pPr>
        <w:pStyle w:val="Heading1"/>
      </w:pPr>
      <w:r>
        <w:rPr>
          <w:rFonts w:ascii="华文楷体" w:hAnsi="华文楷体" w:eastAsia="华文楷体"/>
          <w:sz w:val="22"/>
        </w:rPr>
        <w:t>四、客户经理行动建议</w:t>
      </w:r>
    </w:p>
    <w:p>
      <w:r>
        <w:rPr>
          <w:rFonts w:ascii="华文楷体" w:hAnsi="华文楷体" w:eastAsia="华文楷体"/>
          <w:sz w:val="22"/>
        </w:rPr>
        <w:t>1. 本周优先拜访杭州深度求索人工智能基础技术研究有限公司（DeepSeek）、杭州群核信息技术有限公司（群核科技）和杭州有赞科技有限公司，切入口分别是算力与Token成本、SaaS订阅回款、AI营销商家生态。</w:t>
      </w:r>
    </w:p>
    <w:p>
      <w:r>
        <w:rPr>
          <w:rFonts w:ascii="华文楷体" w:hAnsi="华文楷体" w:eastAsia="华文楷体"/>
          <w:sz w:val="22"/>
        </w:rPr>
        <w:t>2. 对阿里云计算有限公司建议先不做单户授信切入，而是约云市场或生态合作负责人，讨论ISV、开发者、渠道商的结算、票据贴现和平台数字贷方案。</w:t>
      </w:r>
    </w:p>
    <w:p>
      <w:r>
        <w:rPr>
          <w:rFonts w:ascii="华文楷体" w:hAnsi="华文楷体" w:eastAsia="华文楷体"/>
          <w:sz w:val="22"/>
        </w:rPr>
        <w:t>3. 对杭州涂鸦科技有限公司重点准备跨境支付结算、平安避险、付融通和订单融资组合，围绕AIoT设备商、海外品牌和开发者生态聊收款与供应链账期。</w:t>
      </w:r>
    </w:p>
    <w:p>
      <w:r>
        <w:rPr>
          <w:rFonts w:ascii="华文楷体" w:hAnsi="华文楷体" w:eastAsia="华文楷体"/>
          <w:sz w:val="22"/>
        </w:rPr>
        <w:t>4. 客户经理拜访前统一准备三套材料：科创贷/短贷方案、数字财资+慧收款方案、跨境结算+平安避险方案；问题清单围绕Token调用成本、云资源预付、客户回款周期、SaaS续费率、海外收入占比和数据合规投入。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华文楷体" w:hAnsi="华文楷体" w:eastAsia="华文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华文楷体" w:hAnsi="华文楷体" w:eastAsia="华文楷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华文楷体" w:hAnsi="华文楷体" w:eastAsia="华文楷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华文楷体" w:hAnsi="华文楷体" w:eastAsia="华文楷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华文楷体" w:hAnsi="华文楷体" w:eastAsia="华文楷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华文楷体" w:hAnsi="华文楷体" w:eastAsia="华文楷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华文楷体" w:hAnsi="华文楷体" w:eastAsia="华文楷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华文楷体" w:hAnsi="华文楷体" w:eastAsia="华文楷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华文楷体" w:hAnsi="华文楷体" w:eastAsia="华文楷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华文楷体" w:hAnsi="华文楷体" w:eastAsia="华文楷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华文楷体" w:hAnsi="华文楷体" w:eastAsia="华文楷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华文楷体" w:hAnsi="华文楷体" w:eastAsia="华文楷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华文楷体" w:hAnsi="华文楷体" w:eastAsia="华文楷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华文楷体" w:hAnsi="华文楷体" w:eastAsia="华文楷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华文楷体" w:hAnsi="华文楷体" w:eastAsia="华文楷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华文楷体" w:hAnsi="华文楷体" w:eastAsia="华文楷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华文楷体" w:hAnsi="华文楷体" w:eastAsia="华文楷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华文楷体" w:hAnsi="华文楷体" w:eastAsia="华文楷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华文楷体" w:hAnsi="华文楷体" w:eastAsia="华文楷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华文楷体" w:hAnsi="华文楷体" w:eastAsia="华文楷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华文楷体" w:hAnsi="华文楷体" w:eastAsia="华文楷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华文楷体" w:hAnsi="华文楷体" w:eastAsia="华文楷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华文楷体" w:hAnsi="华文楷体" w:eastAsia="华文楷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华文楷体" w:hAnsi="华文楷体" w:eastAsia="华文楷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华文楷体" w:hAnsi="华文楷体" w:eastAsia="华文楷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华文楷体" w:hAnsi="华文楷体" w:eastAsia="华文楷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华文楷体" w:hAnsi="华文楷体" w:eastAsia="华文楷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华文楷体" w:hAnsi="华文楷体" w:eastAsia="华文楷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华文楷体" w:hAnsi="华文楷体" w:eastAsia="华文楷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华文楷体" w:hAnsi="华文楷体" w:eastAsia="华文楷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华文楷体" w:hAnsi="华文楷体" w:eastAsia="华文楷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华文楷体" w:hAnsi="华文楷体" w:eastAsia="华文楷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华文楷体" w:hAnsi="华文楷体" w:eastAsia="华文楷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华文楷体" w:hAnsi="华文楷体" w:eastAsia="华文楷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华文楷体" w:hAnsi="华文楷体" w:eastAsia="华文楷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华文楷体" w:hAnsi="华文楷体" w:eastAsia="华文楷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华文楷体" w:hAnsi="华文楷体" w:eastAsia="华文楷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华文楷体" w:hAnsi="华文楷体" w:eastAsia="华文楷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华文楷体" w:hAnsi="华文楷体" w:eastAsia="华文楷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华文楷体" w:hAnsi="华文楷体" w:eastAsia="华文楷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华文楷体" w:hAnsi="华文楷体" w:eastAsia="华文楷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华文楷体" w:hAnsi="华文楷体" w:eastAsia="华文楷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华文楷体" w:hAnsi="华文楷体" w:eastAsia="华文楷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华文楷体" w:hAnsi="华文楷体" w:eastAsia="华文楷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华文楷体" w:hAnsi="华文楷体" w:eastAsia="华文楷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华文楷体" w:hAnsi="华文楷体" w:eastAsia="华文楷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华文楷体" w:hAnsi="华文楷体" w:eastAsia="华文楷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华文楷体" w:hAnsi="华文楷体" w:eastAsia="华文楷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华文楷体" w:hAnsi="华文楷体" w:eastAsia="华文楷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华文楷体" w:hAnsi="华文楷体" w:eastAsia="华文楷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华文楷体" w:hAnsi="华文楷体" w:eastAsia="华文楷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华文楷体" w:hAnsi="华文楷体" w:eastAsia="华文楷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