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华文楷体" w:hAnsi="华文楷体" w:eastAsia="华文楷体"/>
        </w:rPr>
        <w:t>互联网行业商机周报</w:t>
      </w:r>
    </w:p>
    <w:p>
      <w:r>
        <w:rPr>
          <w:rFonts w:ascii="华文楷体" w:hAnsi="华文楷体" w:eastAsia="华文楷体"/>
        </w:rPr>
        <w:t>覆盖周期： 2026.05.22-2026.05.29</w:t>
      </w:r>
    </w:p>
    <w:p>
      <w:r>
        <w:rPr>
          <w:rFonts w:ascii="华文楷体" w:hAnsi="华文楷体" w:eastAsia="华文楷体"/>
        </w:rPr>
        <w:t>资料来源： 国家数据局、国家发改委公开信息、新华网科技、人民网、36氪、界面新闻、证券时报、财联社、21财经、杭州日报、杭州网、浙江省政府公开信息、企业公开披露资料、上市公司公告语义检索、公开招聘与会议活动信息。</w:t>
      </w:r>
    </w:p>
    <w:p>
      <w:pPr>
        <w:pStyle w:val="Heading1"/>
      </w:pPr>
      <w:r>
        <w:rPr>
          <w:rFonts w:ascii="华文楷体" w:hAnsi="华文楷体" w:eastAsia="华文楷体"/>
        </w:rPr>
        <w:t>一、行业动态与发展总结</w:t>
      </w:r>
    </w:p>
    <w:p>
      <w:pPr>
        <w:pStyle w:val="Heading2"/>
      </w:pPr>
      <w:r>
        <w:rPr>
          <w:rFonts w:ascii="华文楷体" w:hAnsi="华文楷体" w:eastAsia="华文楷体"/>
        </w:rPr>
        <w:t>1. 近期政策变动</w:t>
      </w:r>
    </w:p>
    <w:p>
      <w:r>
        <w:rPr>
          <w:rFonts w:ascii="华文楷体" w:hAnsi="华文楷体" w:eastAsia="华文楷体"/>
        </w:rPr>
        <w:t>国家数据局发布《2026年数字经济发展工作要点》，把“强化数据赋能人工智能发展”放到较高优先级，提出围绕高质量数据集、应用赋能、数据标注、数据治理、价值释放等方向形成一批能满足AI就绪度要求、能解决行业问题的数据资源。对互联网企业而言，政策信号已经从“鼓励上云和数字化”进一步转向“数据资产可用、可管、可流通、可喂给模型”。</w:t>
      </w:r>
    </w:p>
    <w:p>
      <w:r>
        <w:rPr>
          <w:rFonts w:ascii="华文楷体" w:hAnsi="华文楷体" w:eastAsia="华文楷体"/>
        </w:rPr>
        <w:t>国家层面对算力网、新一代通信网、数据基础设施的部署继续加密，发改系统近期也强调人工智能应用中试基地、国产大模型适配国产算力芯片和制造、医疗、交通等行业场景落地。对互联网和SaaS企业来说，新的机会不只是做一个AI功能，而是围绕行业数据、模型推理、场景交付和安全合规形成可收费的解决方案。</w:t>
      </w:r>
    </w:p>
    <w:p>
      <w:r>
        <w:rPr>
          <w:rFonts w:ascii="华文楷体" w:hAnsi="华文楷体" w:eastAsia="华文楷体"/>
        </w:rPr>
        <w:t>平台和内容监管仍在收紧。直播电商虚假产地、AI伪造专家、医疗级广告噱头等乱象继续被公开曝光，说明平台经济进入“增长与合规并行”的阶段。电商、短视频、直播、广告投放、AI内容生成企业需要提前补算法备案、内容审核、广告合规、数据留痕和商户治理能力。</w:t>
      </w:r>
    </w:p>
    <w:p>
      <w:r>
        <w:rPr>
          <w:rFonts w:ascii="华文楷体" w:hAnsi="华文楷体" w:eastAsia="华文楷体"/>
        </w:rPr>
        <w:t>综合影响闭环： 政策主线是“数据要素供给 + 算力网络建设 + AI应用落地 + 平台合规治理”。经营含义是AI应用企业会增加数据治理、模型调用、算力和合规投入；金融需求会落在云资源预付、研发人员扩张、政企项目账期、平台结算和供应链付款；银行可用普惠金融科创贷、短贷、数字财资、资产池、付融通、商票类产品和平台结算方案切入。</w:t>
      </w:r>
    </w:p>
    <w:p>
      <w:pPr>
        <w:pStyle w:val="Heading2"/>
      </w:pPr>
      <w:r>
        <w:rPr>
          <w:rFonts w:ascii="华文楷体" w:hAnsi="华文楷体" w:eastAsia="华文楷体"/>
        </w:rPr>
        <w:t>2. 政府规划与产业方向</w:t>
      </w:r>
    </w:p>
    <w:p>
      <w:r>
        <w:rPr>
          <w:rFonts w:ascii="华文楷体" w:hAnsi="华文楷体" w:eastAsia="华文楷体"/>
        </w:rPr>
        <w:t>国家层面正在把数字经济从单点产业扶持推向基础设施化。数据要素、可信数据空间、算力网和高质量数据集会成为AI时代的“水电煤”。互联网企业如果掌握行业数据、客户入口或开发者生态，就具备从工具型产品升级为行业平台的机会。</w:t>
      </w:r>
    </w:p>
    <w:p>
      <w:r>
        <w:rPr>
          <w:rFonts w:ascii="华文楷体" w:hAnsi="华文楷体" w:eastAsia="华文楷体"/>
        </w:rPr>
        <w:t>人工智能产业方向上，智能体、AI办公、AI客服、AI营销、AI电商、AI编程、AI视频、AI搜索和AI安全是本周信息密度最高的方向。行业不再只讨论模型能力，而是开始比较谁能把模型嵌入业务流程，谁能用更低Token成本完成交付，谁能拿到可复用的行业数据和真实客户。</w:t>
      </w:r>
    </w:p>
    <w:p>
      <w:r>
        <w:rPr>
          <w:rFonts w:ascii="华文楷体" w:hAnsi="华文楷体" w:eastAsia="华文楷体"/>
        </w:rPr>
        <w:t>对银行而言，值得关注的不是“用了AI”这个标签，而是企业是否出现三类可验证信号：第一，合同或订阅收入增长；第二，云资源、模型API、GPU或数据服务采购上升；第三，下游客户回款周期拉长或平台生态扩大。这些信号对应流动资金、票据、保理、现金管理、平台结算、跨境和代发机会。</w:t>
      </w:r>
    </w:p>
    <w:p>
      <w:pPr>
        <w:pStyle w:val="Heading2"/>
      </w:pPr>
      <w:r>
        <w:rPr>
          <w:rFonts w:ascii="华文楷体" w:hAnsi="华文楷体" w:eastAsia="华文楷体"/>
        </w:rPr>
        <w:t>3. AI时代互联网行业发展趋势</w:t>
      </w:r>
    </w:p>
    <w:p>
      <w:r>
        <w:rPr>
          <w:rFonts w:ascii="华文楷体" w:hAnsi="华文楷体" w:eastAsia="华文楷体"/>
        </w:rPr>
        <w:t>互联网行业处于结构性分化阶段。通用流量平台和传统SaaS增长承压，但AI正在把一批软件、电商服务、广告营销、客服、跨境工具和内容生产企业重新推到增长曲线上。有赞对白鸦的近期访谈释放出一个明确信号：AI不是简单替代SaaS，而是会压缩臃肿流程，让软件从“人填表”转向“系统代执行”。</w:t>
      </w:r>
    </w:p>
    <w:p>
      <w:r>
        <w:rPr>
          <w:rFonts w:ascii="华文楷体" w:hAnsi="华文楷体" w:eastAsia="华文楷体"/>
        </w:rPr>
        <w:t>电商和营销进入AI“618”大促元年，商家对AI客服、智能投放、商品卖点生成、直播切片、自动对账的需求快速上升。跨境方向上，阿里巴巴与巴基斯坦围绕AI基础设施、中小企业、支付和人才培养达成合作，说明AI能力、支付网络和跨境平台正在绑定出海场景。</w:t>
      </w:r>
    </w:p>
    <w:p>
      <w:r>
        <w:rPr>
          <w:rFonts w:ascii="华文楷体" w:hAnsi="华文楷体" w:eastAsia="华文楷体"/>
        </w:rPr>
        <w:t>风险侧也很清晰：AI生成内容的真实性、广告合规、数据安全、模型成本和客户续费率会成为主要压力。客户经理判断企业质量时，应重点问三件事：AI功能是否带来付费，Token和云资源成本占收入比例是否可控，客户回款和续费是否稳定。</w:t>
      </w:r>
    </w:p>
    <w:p>
      <w:pPr>
        <w:pStyle w:val="Heading2"/>
      </w:pPr>
      <w:r>
        <w:rPr>
          <w:rFonts w:ascii="华文楷体" w:hAnsi="华文楷体" w:eastAsia="华文楷体"/>
        </w:rPr>
        <w:t>4. AI Token消费生态链与上下游动态</w:t>
      </w:r>
    </w:p>
    <w:p>
      <w:r>
        <w:rPr>
          <w:rFonts w:ascii="华文楷体" w:hAnsi="华文楷体" w:eastAsia="华文楷体"/>
        </w:rPr>
        <w:t>上游算力和云服务的商业模式正在从“卖机器、卖云资源”转向“卖Token吞吐、卖推理效率、卖模型调用包”。市场讨论中，“Token运营”已经成为算力租赁和云服务的新关键词，三大运营商和云厂商都在探索把算力、模型、网络和开发者平台打包。</w:t>
      </w:r>
    </w:p>
    <w:p>
      <w:r>
        <w:rPr>
          <w:rFonts w:ascii="华文楷体" w:hAnsi="华文楷体" w:eastAsia="华文楷体"/>
        </w:rPr>
        <w:t>中游大模型和MaaS平台的竞争重点从参数规模转向成本、稳定性、安全和生态。阿里云近期围绕模型、云基础设施和AI芯片持续释放动作，腾讯云也强调模型、工程、应用和安全一体化。对中游平台来说，生态伙伴、ISV、开发者、行业客户的结算和回款会比单一模型发布更重要。</w:t>
      </w:r>
    </w:p>
    <w:p>
      <w:r>
        <w:rPr>
          <w:rFonts w:ascii="华文楷体" w:hAnsi="华文楷体" w:eastAsia="华文楷体"/>
        </w:rPr>
        <w:t>下游应用层最活跃的是AI电商、AI营销、AI客服、AI办公、AI设计、AI视频和游戏内容生产。虹软科技公告显示，AI商拍业务已经覆盖超过1000个品牌，说明AI图片、视频和商品内容生产已从试用走向规模化。金融需求会集中在云资源预付、研发投入、品牌客户账期、SaaS订阅回款和跨境收款。</w:t>
      </w:r>
    </w:p>
    <w:p>
      <w:pPr>
        <w:pStyle w:val="Heading1"/>
      </w:pPr>
      <w:r>
        <w:rPr>
          <w:rFonts w:ascii="华文楷体" w:hAnsi="华文楷体" w:eastAsia="华文楷体"/>
        </w:rPr>
        <w:t>二、浙江地区动态与区域机会</w:t>
      </w:r>
    </w:p>
    <w:p>
      <w:pPr>
        <w:pStyle w:val="Heading2"/>
      </w:pPr>
      <w:r>
        <w:rPr>
          <w:rFonts w:ascii="华文楷体" w:hAnsi="华文楷体" w:eastAsia="华文楷体"/>
        </w:rPr>
        <w:t>1. 浙江政策与政府规划</w:t>
      </w:r>
    </w:p>
    <w:p>
      <w:r>
        <w:rPr>
          <w:rFonts w:ascii="华文楷体" w:hAnsi="华文楷体" w:eastAsia="华文楷体"/>
        </w:rPr>
        <w:t>浙江近期继续把人工智能和民营经济放在政策主线中。浙江“民营经济新增13条”提出每年财政安排专项资金支持“人工智能+”，开放大科学装置、超算中心、中试平台等创新资源，并推动国企每年开放场景。对浙江AI企业来说，这意味着政府场景、算力资源、试点项目和国企客户会持续释放。</w:t>
      </w:r>
    </w:p>
    <w:p>
      <w:r>
        <w:rPr>
          <w:rFonts w:ascii="华文楷体" w:hAnsi="华文楷体" w:eastAsia="华文楷体"/>
        </w:rPr>
        <w:t>杭州本周的AI氛围很强。2026全球人工智能技术大会在杭州未来科技城举行，发布人工智能关键能力清单、科研基金和创新创业大赛等内容。杭州也持续推进生成式人工智能服务合规、算力调度和人工智能产业政策升级，方向从大模型走向智能体、从技术展示走向场景交付。</w:t>
      </w:r>
    </w:p>
    <w:p>
      <w:r>
        <w:rPr>
          <w:rFonts w:ascii="华文楷体" w:hAnsi="华文楷体" w:eastAsia="华文楷体"/>
        </w:rPr>
        <w:t>温州企业在杭州人工智能行业专场招聘中集中释放大模型训练、AI应用落地、产品研发等岗位需求，说明浙江AI人才需求已经从杭州外溢到温州等制造业和产业互联网城市。银行应关注区域内软件服务商、工业AI服务商和制造业数字化平台的研发周转、代发和项目回款需求。</w:t>
      </w:r>
    </w:p>
    <w:p>
      <w:pPr>
        <w:pStyle w:val="Heading2"/>
      </w:pPr>
      <w:r>
        <w:rPr>
          <w:rFonts w:ascii="华文楷体" w:hAnsi="华文楷体" w:eastAsia="华文楷体"/>
        </w:rPr>
        <w:t>2. 浙江重点产业与区域机会</w:t>
      </w:r>
    </w:p>
    <w:p>
      <w:r>
        <w:rPr>
          <w:rFonts w:ascii="华文楷体" w:hAnsi="华文楷体" w:eastAsia="华文楷体"/>
        </w:rPr>
        <w:t>杭州仍是浙江互联网和AI产业的主阵地。杭州“六小龙”之后，“新八骏”类硬科技企业继续被市场关注，涉及GPU、数据服务、智能眼镜、灵巧手、机器人、智能底盘等方向。对互联网行业研究而言，这些硬科技企业的意义在于，它们会反向拉动本地AI应用、数据服务、云渲染、开发者工具和产业软件企业的需求。</w:t>
      </w:r>
    </w:p>
    <w:p>
      <w:r>
        <w:rPr>
          <w:rFonts w:ascii="华文楷体" w:hAnsi="华文楷体" w:eastAsia="华文楷体"/>
        </w:rPr>
        <w:t>跨境电商和数字贸易是杭州的第二条主线。杭州作为全国首个跨境电商综试区所在地，AI外贸、AI选品、AI设计、AI客服、AI投放和跨境支付正在成为平台、服务商和品牌卖家的共同需求。阿里国际站、速卖通、菜鸟生态及本地服务商会持续带来平台结算、跨境收款、汇率避险和小微商户批量授信机会。</w:t>
      </w:r>
    </w:p>
    <w:p>
      <w:r>
        <w:rPr>
          <w:rFonts w:ascii="华文楷体" w:hAnsi="华文楷体" w:eastAsia="华文楷体"/>
        </w:rPr>
        <w:t>电商SaaS和内容营销企业迎来再定价机会。有赞、群核科技、虹软科技等企业分别切入商家经营、空间设计、AI商拍内容生产，本质都是把AI能力嵌入客户的日常交易和内容流程。客户经理可围绕“AI是否增加云资源成本”“客户回款周期是否拉长”“是否有平台生态伙伴”三类问题做初筛。</w:t>
      </w:r>
    </w:p>
    <w:p>
      <w:pPr>
        <w:pStyle w:val="Heading2"/>
      </w:pPr>
      <w:r>
        <w:rPr>
          <w:rFonts w:ascii="华文楷体" w:hAnsi="华文楷体" w:eastAsia="华文楷体"/>
        </w:rPr>
        <w:t>3. 浙江AI Token消费生态链与上下游动态</w:t>
      </w:r>
    </w:p>
    <w:p>
      <w:r>
        <w:rPr>
          <w:rFonts w:ascii="华文楷体" w:hAnsi="华文楷体" w:eastAsia="华文楷体"/>
        </w:rPr>
        <w:t>浙江上游以阿里云、浙江算力平台、IDC和数据服务企业为核心，中游以DeepSeek、群核科技、涂鸦智能、网易智企、有赞等模型、平台和SaaS企业为代表，下游则覆盖电商、直播、跨境、游戏、设计、制造业AI应用和政企数字化。</w:t>
      </w:r>
    </w:p>
    <w:p>
      <w:r>
        <w:rPr>
          <w:rFonts w:ascii="华文楷体" w:hAnsi="华文楷体" w:eastAsia="华文楷体"/>
        </w:rPr>
        <w:t>Token消耗增长最快的环节预计在AI客服、AI营销、商品内容生成、云渲染、游戏素材生产和企业知识库问答。资金压力最大的是需要先采购云资源、GPU、模型API和数据服务，再向客户按订阅或项目回款的企业。适合银行切入的点包括短期流动资金、资产池、数字财资、慧收款、平台结算通、付融通和商票贴现。</w:t>
      </w:r>
    </w:p>
    <w:p>
      <w:r>
        <w:rPr>
          <w:rFonts w:ascii="华文楷体" w:hAnsi="华文楷体" w:eastAsia="华文楷体"/>
        </w:rPr>
        <w:t>核心平台企业具备批量获客价值。阿里云和阿里国际站可带动ISV、开发者和跨境商家；有赞可带动品牌商家和私域运营服务商；群核科技可带动设计师、家居家装和空间智能生态；涂鸦智能可带动IoT设备商和海外渠道；网易智企可带动客服、音视频和企业通信客户。</w:t>
      </w:r>
    </w:p>
    <w:p>
      <w:pPr>
        <w:pStyle w:val="Heading2"/>
      </w:pPr>
      <w:r>
        <w:rPr>
          <w:rFonts w:ascii="华文楷体" w:hAnsi="华文楷体" w:eastAsia="华文楷体"/>
        </w:rPr>
        <w:t>4. 银行展业机会</w:t>
      </w:r>
    </w:p>
    <w:p>
      <w:pPr>
        <w:pStyle w:val="ListNumber"/>
      </w:pPr>
      <w:r>
        <w:rPr>
          <w:rFonts w:ascii="华文楷体" w:hAnsi="华文楷体" w:eastAsia="华文楷体"/>
        </w:rPr>
        <w:t>1. AI应用企业研发与云资源预付： 对DeepSeek、群核科技、有赞、虹软科技等企业，优先从普惠金融科创贷、短贷、数字财资、资产池切入，解决研发、算力、模型调用和现金流错配。</w:t>
      </w:r>
    </w:p>
    <w:p>
      <w:pPr>
        <w:pStyle w:val="ListNumber"/>
      </w:pPr>
      <w:r>
        <w:rPr>
          <w:rFonts w:ascii="华文楷体" w:hAnsi="华文楷体" w:eastAsia="华文楷体"/>
        </w:rPr>
        <w:t>2. 平台生态结算与批量授信： 对阿里云、阿里国际站、有赞、涂鸦智能等平台型企业，重点推进平安结算通、产业结算通、平台数字贷、普惠金融场景化方案，争取围绕开发者、ISV、商户和渠道商批量获客。</w:t>
      </w:r>
    </w:p>
    <w:p>
      <w:pPr>
        <w:pStyle w:val="ListNumber"/>
      </w:pPr>
      <w:r>
        <w:rPr>
          <w:rFonts w:ascii="华文楷体" w:hAnsi="华文楷体" w:eastAsia="华文楷体"/>
        </w:rPr>
        <w:t>3. 跨境电商与AI出海： 对阿里国际站生态、跨境服务商、AI设计和AI营销工具企业，主推跨境支付结算、外币存款、跨境资金管理、新银关通和平安避险，配套人民币国际证+福费廷。</w:t>
      </w:r>
    </w:p>
    <w:p>
      <w:pPr>
        <w:pStyle w:val="ListNumber"/>
      </w:pPr>
      <w:r>
        <w:rPr>
          <w:rFonts w:ascii="华文楷体" w:hAnsi="华文楷体" w:eastAsia="华文楷体"/>
        </w:rPr>
        <w:t>4. 政企项目账期与内容合规投入： 对网易智企、AI客服、工业AI和数据治理服务商，围绕政企项目回款、票据、保理、付融通、商票保贴、国内信用证等产品做项目制营销。</w:t>
      </w:r>
    </w:p>
    <w:p>
      <w:pPr>
        <w:pStyle w:val="ListNumber"/>
      </w:pPr>
      <w:r>
        <w:rPr>
          <w:rFonts w:ascii="华文楷体" w:hAnsi="华文楷体" w:eastAsia="华文楷体"/>
        </w:rPr>
        <w:t>5. 技术人才代发与企业主综合金融： AI企业技术人才密集，客户经理可配套平安薪、口袋管家、员工信用卡权益、企业主财富管理和家族信托，提升账户黏性。</w:t>
      </w:r>
    </w:p>
    <w:p>
      <w:pPr>
        <w:pStyle w:val="Heading1"/>
      </w:pPr>
      <w:r>
        <w:rPr>
          <w:rFonts w:ascii="华文楷体" w:hAnsi="华文楷体" w:eastAsia="华文楷体"/>
        </w:rPr>
        <w:t>三、重点企业推荐</w:t>
      </w:r>
    </w:p>
    <w:p>
      <w:pPr>
        <w:pStyle w:val="Heading2"/>
      </w:pPr>
      <w:r>
        <w:rPr>
          <w:rFonts w:ascii="华文楷体" w:hAnsi="华文楷体" w:eastAsia="华文楷体"/>
        </w:rPr>
        <w:t>企业名称: 杭州深度求索人工智能基础技术研究有限公司（DeepSeek）</w:t>
      </w:r>
    </w:p>
    <w:p>
      <w:pPr>
        <w:pStyle w:val="ListBullet"/>
      </w:pPr>
      <w:r>
        <w:rPr>
          <w:rFonts w:ascii="华文楷体" w:hAnsi="华文楷体" w:eastAsia="华文楷体"/>
        </w:rPr>
        <w:t>推荐等级： 高</w:t>
      </w:r>
    </w:p>
    <w:p>
      <w:pPr>
        <w:pStyle w:val="ListBullet"/>
      </w:pPr>
      <w:r>
        <w:rPr>
          <w:rFonts w:ascii="华文楷体" w:hAnsi="华文楷体" w:eastAsia="华文楷体"/>
        </w:rPr>
        <w:t>所属赛道： 大模型 / MaaS / AI Token消费生态</w:t>
      </w:r>
    </w:p>
    <w:p>
      <w:pPr>
        <w:pStyle w:val="ListBullet"/>
      </w:pPr>
      <w:r>
        <w:rPr>
          <w:rFonts w:ascii="华文楷体" w:hAnsi="华文楷体" w:eastAsia="华文楷体"/>
        </w:rPr>
        <w:t>所在地区： 杭州</w:t>
      </w:r>
    </w:p>
    <w:p>
      <w:pPr>
        <w:pStyle w:val="ListBullet"/>
      </w:pPr>
      <w:r>
        <w:rPr>
          <w:rFonts w:ascii="华文楷体" w:hAnsi="华文楷体" w:eastAsia="华文楷体"/>
        </w:rPr>
        <w:t>产业链位置： 中游模型与平台</w:t>
      </w:r>
    </w:p>
    <w:p>
      <w:pPr>
        <w:pStyle w:val="ListBullet"/>
      </w:pPr>
      <w:r>
        <w:rPr>
          <w:rFonts w:ascii="华文楷体" w:hAnsi="华文楷体" w:eastAsia="华文楷体"/>
        </w:rPr>
        <w:t>推荐方向： 科创融资 / 流动资金 / 现金管理 / 代发 / 综合金融</w:t>
      </w:r>
    </w:p>
    <w:p>
      <w:r>
        <w:rPr>
          <w:rFonts w:ascii="华文楷体" w:hAnsi="华文楷体" w:eastAsia="华文楷体"/>
        </w:rPr>
        <w:t>企业关键信息:</w:t>
      </w:r>
    </w:p>
    <w:p>
      <w:pPr>
        <w:pStyle w:val="ListBullet"/>
      </w:pPr>
      <w:r>
        <w:rPr>
          <w:rFonts w:ascii="华文楷体" w:hAnsi="华文楷体" w:eastAsia="华文楷体"/>
        </w:rPr>
        <w:t>基本情况: DeepSeek成立于杭州，聚焦通用大模型、代码模型、开源生态和API服务，处于模型平台和开发者生态核心位置。</w:t>
      </w:r>
    </w:p>
    <w:p>
      <w:pPr>
        <w:pStyle w:val="ListBullet"/>
      </w:pPr>
      <w:r>
        <w:rPr>
          <w:rFonts w:ascii="华文楷体" w:hAnsi="华文楷体" w:eastAsia="华文楷体"/>
        </w:rPr>
        <w:t>高层与团队背景: 创始人梁文锋公开资料显示本硕就读于浙江大学，曾创办幻方量化，具备量化投资、高性能计算和AI研发背景；核心研究团队更多细节未完全披露。</w:t>
      </w:r>
    </w:p>
    <w:p>
      <w:pPr>
        <w:pStyle w:val="ListBullet"/>
      </w:pPr>
      <w:r>
        <w:rPr>
          <w:rFonts w:ascii="华文楷体" w:hAnsi="华文楷体" w:eastAsia="华文楷体"/>
        </w:rPr>
        <w:t>银行关注点: 创始团队技术和资金背景较强，商业化节奏、API调用量、算力投入和研发人员扩张是判断金融需求的关键。</w:t>
      </w:r>
    </w:p>
    <w:p>
      <w:r>
        <w:rPr>
          <w:rFonts w:ascii="华文楷体" w:hAnsi="华文楷体" w:eastAsia="华文楷体"/>
        </w:rPr>
        <w:t>推荐理由:</w:t>
      </w:r>
    </w:p>
    <w:p>
      <w:pPr>
        <w:pStyle w:val="ListBullet"/>
      </w:pPr>
      <w:r>
        <w:rPr>
          <w:rFonts w:ascii="华文楷体" w:hAnsi="华文楷体" w:eastAsia="华文楷体"/>
        </w:rPr>
        <w:t>杭州AI政策和算力调度服务持续推进，DeepSeek是本地大模型代表企业，具备行业影响力。</w:t>
      </w:r>
    </w:p>
    <w:p>
      <w:pPr>
        <w:pStyle w:val="ListBullet"/>
      </w:pPr>
      <w:r>
        <w:rPr>
          <w:rFonts w:ascii="华文楷体" w:hAnsi="华文楷体" w:eastAsia="华文楷体"/>
        </w:rPr>
        <w:t>AI Token消费生态中，模型API调用、推理成本和开发者生态会形成持续资金与结算场景。</w:t>
      </w:r>
    </w:p>
    <w:p>
      <w:pPr>
        <w:pStyle w:val="ListBullet"/>
      </w:pPr>
      <w:r>
        <w:rPr>
          <w:rFonts w:ascii="华文楷体" w:hAnsi="华文楷体" w:eastAsia="华文楷体"/>
        </w:rPr>
        <w:t>团队具备高性能计算和模型研发积累，若商业化加速，银行可提前建立账户、代发和现金管理关系。</w:t>
      </w:r>
    </w:p>
    <w:p>
      <w:r>
        <w:rPr>
          <w:rFonts w:ascii="华文楷体" w:hAnsi="华文楷体" w:eastAsia="华文楷体"/>
        </w:rPr>
        <w:t>银行展业机会: DeepSeek的经营场景是大模型研发、API服务和开发者生态扩展，对应云资源预付、研发支出、人员代发和资金集中管理需求。建议先从数字财资、资产池、平安薪建立低侵入关系，再视经营流水和合同情况配置普惠金融科创贷或短贷，额度、期限、费率待沟通。</w:t>
      </w:r>
    </w:p>
    <w:p>
      <w:r>
        <w:rPr>
          <w:rFonts w:ascii="华文楷体" w:hAnsi="华文楷体" w:eastAsia="华文楷体"/>
        </w:rPr>
        <w:t>推荐产品组合: 建议以数字财资和资产池作为主推产品，解决研发型企业多账户资金管理和流动性安排；配套普惠金融科创贷、短贷和平安薪，用于研发周转、技术团队代发和企业主综合金融，具体准入与额度待沟通。</w:t>
      </w:r>
    </w:p>
    <w:p>
      <w:r>
        <w:rPr>
          <w:rFonts w:ascii="华文楷体" w:hAnsi="华文楷体" w:eastAsia="华文楷体"/>
        </w:rPr>
        <w:t>客户经理切入话术: “我们想重点了解贵司API调用、算力和研发投入的资金节奏，先不急着谈授信，可以先看账户、财资和代发有没有能帮团队降低管理成本的地方。”</w:t>
      </w:r>
    </w:p>
    <w:p>
      <w:r>
        <w:rPr>
          <w:rFonts w:ascii="华文楷体" w:hAnsi="华文楷体" w:eastAsia="华文楷体"/>
        </w:rPr>
        <w:t>风险提示: 大模型商业化、推理成本、数据合规、模型安全、核心团队稳定性和现金流节奏需持续跟踪，授信前需结合流水、合同、纳税、征信和真实控制关系核验。</w:t>
      </w:r>
    </w:p>
    <w:p>
      <w:pPr>
        <w:pStyle w:val="Heading2"/>
      </w:pPr>
      <w:r>
        <w:rPr>
          <w:rFonts w:ascii="华文楷体" w:hAnsi="华文楷体" w:eastAsia="华文楷体"/>
        </w:rPr>
        <w:t>企业名称: 杭州群核信息技术有限公司（群核科技）</w:t>
      </w:r>
    </w:p>
    <w:p>
      <w:pPr>
        <w:pStyle w:val="ListBullet"/>
      </w:pPr>
      <w:r>
        <w:rPr>
          <w:rFonts w:ascii="华文楷体" w:hAnsi="华文楷体" w:eastAsia="华文楷体"/>
        </w:rPr>
        <w:t>推荐等级： 高</w:t>
      </w:r>
    </w:p>
    <w:p>
      <w:pPr>
        <w:pStyle w:val="ListBullet"/>
      </w:pPr>
      <w:r>
        <w:rPr>
          <w:rFonts w:ascii="华文楷体" w:hAnsi="华文楷体" w:eastAsia="华文楷体"/>
        </w:rPr>
        <w:t>所属赛道： AI SaaS / 空间智能 / 云渲染</w:t>
      </w:r>
    </w:p>
    <w:p>
      <w:pPr>
        <w:pStyle w:val="ListBullet"/>
      </w:pPr>
      <w:r>
        <w:rPr>
          <w:rFonts w:ascii="华文楷体" w:hAnsi="华文楷体" w:eastAsia="华文楷体"/>
        </w:rPr>
        <w:t>所在地区： 杭州</w:t>
      </w:r>
    </w:p>
    <w:p>
      <w:pPr>
        <w:pStyle w:val="ListBullet"/>
      </w:pPr>
      <w:r>
        <w:rPr>
          <w:rFonts w:ascii="华文楷体" w:hAnsi="华文楷体" w:eastAsia="华文楷体"/>
        </w:rPr>
        <w:t>产业链位置： 下游应用与场景 / 中游平台</w:t>
      </w:r>
    </w:p>
    <w:p>
      <w:pPr>
        <w:pStyle w:val="ListBullet"/>
      </w:pPr>
      <w:r>
        <w:rPr>
          <w:rFonts w:ascii="华文楷体" w:hAnsi="华文楷体" w:eastAsia="华文楷体"/>
        </w:rPr>
        <w:t>推荐方向： 流动资金 / 现金管理 / 跨境结算 / 科创融资</w:t>
      </w:r>
    </w:p>
    <w:p>
      <w:r>
        <w:rPr>
          <w:rFonts w:ascii="华文楷体" w:hAnsi="华文楷体" w:eastAsia="华文楷体"/>
        </w:rPr>
        <w:t>企业关键信息:</w:t>
      </w:r>
    </w:p>
    <w:p>
      <w:pPr>
        <w:pStyle w:val="ListBullet"/>
      </w:pPr>
      <w:r>
        <w:rPr>
          <w:rFonts w:ascii="华文楷体" w:hAnsi="华文楷体" w:eastAsia="华文楷体"/>
        </w:rPr>
        <w:t>基本情况: 群核科技以酷家乐等空间设计和云渲染产品为核心，向空间智能、AI设计、海外Coohom等方向拓展，商业模式包括SaaS订阅、云渲染和企业服务。</w:t>
      </w:r>
    </w:p>
    <w:p>
      <w:pPr>
        <w:pStyle w:val="ListBullet"/>
      </w:pPr>
      <w:r>
        <w:rPr>
          <w:rFonts w:ascii="华文楷体" w:hAnsi="华文楷体" w:eastAsia="华文楷体"/>
        </w:rPr>
        <w:t>高层与团队背景: 公开资料显示创始团队黄晓煌、陈航、朱皓均有浙大或海外计算机、高性能计算背景，黄晓煌本科毕业于浙江大学竺可桢学院并获UIUC硕士学位。</w:t>
      </w:r>
    </w:p>
    <w:p>
      <w:pPr>
        <w:pStyle w:val="ListBullet"/>
      </w:pPr>
      <w:r>
        <w:rPr>
          <w:rFonts w:ascii="华文楷体" w:hAnsi="华文楷体" w:eastAsia="华文楷体"/>
        </w:rPr>
        <w:t>银行关注点: 公司具备云端渲染、空间数据和设计师生态，云资源预付、订阅回款、海外收款和上市后资本运作值得关注。</w:t>
      </w:r>
    </w:p>
    <w:p>
      <w:r>
        <w:rPr>
          <w:rFonts w:ascii="华文楷体" w:hAnsi="华文楷体" w:eastAsia="华文楷体"/>
        </w:rPr>
        <w:t>推荐理由:</w:t>
      </w:r>
    </w:p>
    <w:p>
      <w:pPr>
        <w:pStyle w:val="ListBullet"/>
      </w:pPr>
      <w:r>
        <w:rPr>
          <w:rFonts w:ascii="华文楷体" w:hAnsi="华文楷体" w:eastAsia="华文楷体"/>
        </w:rPr>
        <w:t>AI从文本走向空间、图像、视频和工业设计，群核科技处在空间智能商业化入口。</w:t>
      </w:r>
    </w:p>
    <w:p>
      <w:pPr>
        <w:pStyle w:val="ListBullet"/>
      </w:pPr>
      <w:r>
        <w:rPr>
          <w:rFonts w:ascii="华文楷体" w:hAnsi="华文楷体" w:eastAsia="华文楷体"/>
        </w:rPr>
        <w:t>云渲染和AI设计天然消耗算力与Token，现金流上容易出现资源先付、客户后回款的错配。</w:t>
      </w:r>
    </w:p>
    <w:p>
      <w:pPr>
        <w:pStyle w:val="ListBullet"/>
      </w:pPr>
      <w:r>
        <w:rPr>
          <w:rFonts w:ascii="华文楷体" w:hAnsi="华文楷体" w:eastAsia="华文楷体"/>
        </w:rPr>
        <w:t>海外Coohom业务和全球设计生态带来跨境收款、汇率管理和境外账户需求。</w:t>
      </w:r>
    </w:p>
    <w:p>
      <w:r>
        <w:rPr>
          <w:rFonts w:ascii="华文楷体" w:hAnsi="华文楷体" w:eastAsia="华文楷体"/>
        </w:rPr>
        <w:t>银行展业机会: 群核科技的经营场景是SaaS订阅、云渲染、AI设计和海外业务，金融需求包括销售回款对账、云资源短期周转、跨境收款和资金集中管理。可用慧收款、数字财资、短贷、普惠金融科创贷、跨境支付结算和平安避险切入。</w:t>
      </w:r>
    </w:p>
    <w:p>
      <w:r>
        <w:rPr>
          <w:rFonts w:ascii="华文楷体" w:hAnsi="华文楷体" w:eastAsia="华文楷体"/>
        </w:rPr>
        <w:t>推荐产品组合: 建议以慧收款和数字财资为主推产品，解决订阅收款、对账和资金可视化；配套普惠金融科创贷、短贷、跨境支付结算和平安避险，用于云渲染资源预付、海外Coohom回款和汇率风险管理，参数待沟通。</w:t>
      </w:r>
    </w:p>
    <w:p>
      <w:r>
        <w:rPr>
          <w:rFonts w:ascii="华文楷体" w:hAnsi="华文楷体" w:eastAsia="华文楷体"/>
        </w:rPr>
        <w:t>客户经理切入话术: “AI设计和云渲染会让算力成本前置，我们可以先帮贵司梳理订阅回款、海外收款和云资源付款节奏，看是否有短期周转和财资管理优化空间。”</w:t>
      </w:r>
    </w:p>
    <w:p>
      <w:r>
        <w:rPr>
          <w:rFonts w:ascii="华文楷体" w:hAnsi="华文楷体" w:eastAsia="华文楷体"/>
        </w:rPr>
        <w:t>风险提示: SaaS续费率、云资源成本、海外合规、客户集中度和上市后资本开支需要持续跟踪。</w:t>
      </w:r>
    </w:p>
    <w:p>
      <w:pPr>
        <w:pStyle w:val="Heading2"/>
      </w:pPr>
      <w:r>
        <w:rPr>
          <w:rFonts w:ascii="华文楷体" w:hAnsi="华文楷体" w:eastAsia="华文楷体"/>
        </w:rPr>
        <w:t>企业名称: 杭州有赞科技有限公司</w:t>
      </w:r>
    </w:p>
    <w:p>
      <w:pPr>
        <w:pStyle w:val="ListBullet"/>
      </w:pPr>
      <w:r>
        <w:rPr>
          <w:rFonts w:ascii="华文楷体" w:hAnsi="华文楷体" w:eastAsia="华文楷体"/>
        </w:rPr>
        <w:t>推荐等级： 中高</w:t>
      </w:r>
    </w:p>
    <w:p>
      <w:pPr>
        <w:pStyle w:val="ListBullet"/>
      </w:pPr>
      <w:r>
        <w:rPr>
          <w:rFonts w:ascii="华文楷体" w:hAnsi="华文楷体" w:eastAsia="华文楷体"/>
        </w:rPr>
        <w:t>所属赛道： 电商SaaS / AI营销 / 私域运营</w:t>
      </w:r>
    </w:p>
    <w:p>
      <w:pPr>
        <w:pStyle w:val="ListBullet"/>
      </w:pPr>
      <w:r>
        <w:rPr>
          <w:rFonts w:ascii="华文楷体" w:hAnsi="华文楷体" w:eastAsia="华文楷体"/>
        </w:rPr>
        <w:t>所在地区： 杭州</w:t>
      </w:r>
    </w:p>
    <w:p>
      <w:pPr>
        <w:pStyle w:val="ListBullet"/>
      </w:pPr>
      <w:r>
        <w:rPr>
          <w:rFonts w:ascii="华文楷体" w:hAnsi="华文楷体" w:eastAsia="华文楷体"/>
        </w:rPr>
        <w:t>产业链位置： 下游应用与场景 / 平台生态服务商</w:t>
      </w:r>
    </w:p>
    <w:p>
      <w:pPr>
        <w:pStyle w:val="ListBullet"/>
      </w:pPr>
      <w:r>
        <w:rPr>
          <w:rFonts w:ascii="华文楷体" w:hAnsi="华文楷体" w:eastAsia="华文楷体"/>
        </w:rPr>
        <w:t>推荐方向： 平台结算 / 批量授信 / 现金管理 / 代发</w:t>
      </w:r>
    </w:p>
    <w:p>
      <w:r>
        <w:rPr>
          <w:rFonts w:ascii="华文楷体" w:hAnsi="华文楷体" w:eastAsia="华文楷体"/>
        </w:rPr>
        <w:t>企业关键信息:</w:t>
      </w:r>
    </w:p>
    <w:p>
      <w:pPr>
        <w:pStyle w:val="ListBullet"/>
      </w:pPr>
      <w:r>
        <w:rPr>
          <w:rFonts w:ascii="华文楷体" w:hAnsi="华文楷体" w:eastAsia="华文楷体"/>
        </w:rPr>
        <w:t>基本情况: 有赞服务品牌商家和私域电商，产品覆盖开店、营销、客户运营、交易和数据工具，AI能力正在嵌入商家经营流程。</w:t>
      </w:r>
    </w:p>
    <w:p>
      <w:pPr>
        <w:pStyle w:val="ListBullet"/>
      </w:pPr>
      <w:r>
        <w:rPr>
          <w:rFonts w:ascii="华文楷体" w:hAnsi="华文楷体" w:eastAsia="华文楷体"/>
        </w:rPr>
        <w:t>高层与团队背景: 创始人兼CEO白鸦公开资料显示长期深耕电商SaaS和商家服务，具体教育背景和导师信息未充分披露。</w:t>
      </w:r>
    </w:p>
    <w:p>
      <w:pPr>
        <w:pStyle w:val="ListBullet"/>
      </w:pPr>
      <w:r>
        <w:rPr>
          <w:rFonts w:ascii="华文楷体" w:hAnsi="华文楷体" w:eastAsia="华文楷体"/>
        </w:rPr>
        <w:t>银行关注点: 有赞连接大量中小商家和服务商，平台结算、商户融资、收款对账和代发具备批量经营价值。</w:t>
      </w:r>
    </w:p>
    <w:p>
      <w:r>
        <w:rPr>
          <w:rFonts w:ascii="华文楷体" w:hAnsi="华文楷体" w:eastAsia="华文楷体"/>
        </w:rPr>
        <w:t>推荐理由:</w:t>
      </w:r>
    </w:p>
    <w:p>
      <w:pPr>
        <w:pStyle w:val="ListBullet"/>
      </w:pPr>
      <w:r>
        <w:rPr>
          <w:rFonts w:ascii="华文楷体" w:hAnsi="华文楷体" w:eastAsia="华文楷体"/>
        </w:rPr>
        <w:t>AI“618”大促元年，商家对AI客服、AI营销、商品内容生成和自动化运营需求提升。</w:t>
      </w:r>
    </w:p>
    <w:p>
      <w:pPr>
        <w:pStyle w:val="ListBullet"/>
      </w:pPr>
      <w:r>
        <w:rPr>
          <w:rFonts w:ascii="华文楷体" w:hAnsi="华文楷体" w:eastAsia="华文楷体"/>
        </w:rPr>
        <w:t>AI会压缩传统SaaS的人工作业环节，有赞如果能把AI变成商家付费模块，收入质量有望改善。</w:t>
      </w:r>
    </w:p>
    <w:p>
      <w:pPr>
        <w:pStyle w:val="ListBullet"/>
      </w:pPr>
      <w:r>
        <w:rPr>
          <w:rFonts w:ascii="华文楷体" w:hAnsi="华文楷体" w:eastAsia="华文楷体"/>
        </w:rPr>
        <w:t>平台生态可带动商户、小微服务商和品牌连锁客户批量获客。</w:t>
      </w:r>
    </w:p>
    <w:p>
      <w:r>
        <w:rPr>
          <w:rFonts w:ascii="华文楷体" w:hAnsi="华文楷体" w:eastAsia="华文楷体"/>
        </w:rPr>
        <w:t>银行展业机会: 有赞的经营场景是商户交易、营销服务和SaaS订阅，金融需求包括商家收款、分账、自动对账、小微经营周转和员工代发。可从慧收款、平安结算通、产业结算通、平台数字贷、普惠金融场景化方案和平安薪切入。</w:t>
      </w:r>
    </w:p>
    <w:p>
      <w:r>
        <w:rPr>
          <w:rFonts w:ascii="华文楷体" w:hAnsi="华文楷体" w:eastAsia="华文楷体"/>
        </w:rPr>
        <w:t>推荐产品组合: 建议以平安结算通和慧收款作为主推产品，解决商家交易资金统一结算、对账和分账；配套平台数字贷、普惠金融场景化方案和平安薪，用于商户批量融资和团队代发，具体额度和准入待沟通。</w:t>
      </w:r>
    </w:p>
    <w:p>
      <w:r>
        <w:rPr>
          <w:rFonts w:ascii="华文楷体" w:hAnsi="华文楷体" w:eastAsia="华文楷体"/>
        </w:rPr>
        <w:t>客户经理切入话术: “今年商家AI化会带来更多交易、对账和营销支出，我们想看看能否围绕有赞商家生态做收款、分账和小微融资的联合方案。”</w:t>
      </w:r>
    </w:p>
    <w:p>
      <w:r>
        <w:rPr>
          <w:rFonts w:ascii="华文楷体" w:hAnsi="华文楷体" w:eastAsia="华文楷体"/>
        </w:rPr>
        <w:t>风险提示: SaaS竞争、商户续费、平台支付合规、营销费用效率和AI功能真实付费率需重点核验。</w:t>
      </w:r>
    </w:p>
    <w:p>
      <w:pPr>
        <w:pStyle w:val="Heading2"/>
      </w:pPr>
      <w:r>
        <w:rPr>
          <w:rFonts w:ascii="华文楷体" w:hAnsi="华文楷体" w:eastAsia="华文楷体"/>
        </w:rPr>
        <w:t>企业名称: 虹软科技股份有限公司</w:t>
      </w:r>
    </w:p>
    <w:p>
      <w:pPr>
        <w:pStyle w:val="ListBullet"/>
      </w:pPr>
      <w:r>
        <w:rPr>
          <w:rFonts w:ascii="华文楷体" w:hAnsi="华文楷体" w:eastAsia="华文楷体"/>
        </w:rPr>
        <w:t>推荐等级： 中高</w:t>
      </w:r>
    </w:p>
    <w:p>
      <w:pPr>
        <w:pStyle w:val="ListBullet"/>
      </w:pPr>
      <w:r>
        <w:rPr>
          <w:rFonts w:ascii="华文楷体" w:hAnsi="华文楷体" w:eastAsia="华文楷体"/>
        </w:rPr>
        <w:t>所属赛道： 视觉AI / AI商拍 / 智能终端</w:t>
      </w:r>
    </w:p>
    <w:p>
      <w:pPr>
        <w:pStyle w:val="ListBullet"/>
      </w:pPr>
      <w:r>
        <w:rPr>
          <w:rFonts w:ascii="华文楷体" w:hAnsi="华文楷体" w:eastAsia="华文楷体"/>
        </w:rPr>
        <w:t>所在地区： 杭州</w:t>
      </w:r>
    </w:p>
    <w:p>
      <w:pPr>
        <w:pStyle w:val="ListBullet"/>
      </w:pPr>
      <w:r>
        <w:rPr>
          <w:rFonts w:ascii="华文楷体" w:hAnsi="华文楷体" w:eastAsia="华文楷体"/>
        </w:rPr>
        <w:t>产业链位置： 下游应用与场景 / 生态服务商</w:t>
      </w:r>
    </w:p>
    <w:p>
      <w:pPr>
        <w:pStyle w:val="ListBullet"/>
      </w:pPr>
      <w:r>
        <w:rPr>
          <w:rFonts w:ascii="华文楷体" w:hAnsi="华文楷体" w:eastAsia="华文楷体"/>
        </w:rPr>
        <w:t>推荐方向： 流动资金 / 应收账款 / 现金管理 / 资本市场联动</w:t>
      </w:r>
    </w:p>
    <w:p>
      <w:r>
        <w:rPr>
          <w:rFonts w:ascii="华文楷体" w:hAnsi="华文楷体" w:eastAsia="华文楷体"/>
        </w:rPr>
        <w:t>企业关键信息:</w:t>
      </w:r>
    </w:p>
    <w:p>
      <w:pPr>
        <w:pStyle w:val="ListBullet"/>
      </w:pPr>
      <w:r>
        <w:rPr>
          <w:rFonts w:ascii="华文楷体" w:hAnsi="华文楷体" w:eastAsia="华文楷体"/>
        </w:rPr>
        <w:t>基本情况: 虹软科技为科创板上市公司，主营视觉人工智能算法和解决方案，覆盖智能手机、智能汽车、IoT、AI商拍等场景。</w:t>
      </w:r>
    </w:p>
    <w:p>
      <w:pPr>
        <w:pStyle w:val="ListBullet"/>
      </w:pPr>
      <w:r>
        <w:rPr>
          <w:rFonts w:ascii="华文楷体" w:hAnsi="华文楷体" w:eastAsia="华文楷体"/>
        </w:rPr>
        <w:t>高层与团队背景: 公司管理层和技术团队长期深耕计算机视觉，具体个人教育背景以公开披露为准，未完全展开。</w:t>
      </w:r>
    </w:p>
    <w:p>
      <w:pPr>
        <w:pStyle w:val="ListBullet"/>
      </w:pPr>
      <w:r>
        <w:rPr>
          <w:rFonts w:ascii="华文楷体" w:hAnsi="华文楷体" w:eastAsia="华文楷体"/>
        </w:rPr>
        <w:t>银行关注点: AI商拍已覆盖超过1000个品牌，说明客户场景和商业化已有规模，后续关注品牌客户账期、研发投入和资本市场需求。</w:t>
      </w:r>
    </w:p>
    <w:p>
      <w:r>
        <w:rPr>
          <w:rFonts w:ascii="华文楷体" w:hAnsi="华文楷体" w:eastAsia="华文楷体"/>
        </w:rPr>
        <w:t>推荐理由:</w:t>
      </w:r>
    </w:p>
    <w:p>
      <w:pPr>
        <w:pStyle w:val="ListBullet"/>
      </w:pPr>
      <w:r>
        <w:rPr>
          <w:rFonts w:ascii="华文楷体" w:hAnsi="华文楷体" w:eastAsia="华文楷体"/>
        </w:rPr>
        <w:t>AI商拍是电商内容生产降本增效的明确场景，品牌数量增长说明从试点进入规模化。</w:t>
      </w:r>
    </w:p>
    <w:p>
      <w:pPr>
        <w:pStyle w:val="ListBullet"/>
      </w:pPr>
      <w:r>
        <w:rPr>
          <w:rFonts w:ascii="华文楷体" w:hAnsi="华文楷体" w:eastAsia="华文楷体"/>
        </w:rPr>
        <w:t>公司连接电商、广告、服装、智能终端和汽车客户，账期、合同回款和研发投入可能同步上升。</w:t>
      </w:r>
    </w:p>
    <w:p>
      <w:pPr>
        <w:pStyle w:val="ListBullet"/>
      </w:pPr>
      <w:r>
        <w:rPr>
          <w:rFonts w:ascii="华文楷体" w:hAnsi="华文楷体" w:eastAsia="华文楷体"/>
        </w:rPr>
        <w:t>上市公司具备资本市场、现金管理、票据和综合金融联动空间。</w:t>
      </w:r>
    </w:p>
    <w:p>
      <w:r>
        <w:rPr>
          <w:rFonts w:ascii="华文楷体" w:hAnsi="华文楷体" w:eastAsia="华文楷体"/>
        </w:rPr>
        <w:t>银行展业机会: 虹软科技的经营场景是AI算法授权、品牌商拍服务和终端客户项目交付，对应应收账款、研发投入、资金集中管理和资本市场需求。可用数字财资、资产池、付融通、商票贴现、债券承销或资本市场融资方案切入。</w:t>
      </w:r>
    </w:p>
    <w:p>
      <w:r>
        <w:rPr>
          <w:rFonts w:ascii="华文楷体" w:hAnsi="华文楷体" w:eastAsia="华文楷体"/>
        </w:rPr>
        <w:t>推荐产品组合: 建议以数字财资和资产池为主推产品，解决上市公司资金可视化和资产管理；配套付融通、商票贴现、资本市场融资和平安证券债券承销，用于品牌客户账期和资本市场资金安排，参数待沟通。</w:t>
      </w:r>
    </w:p>
    <w:p>
      <w:r>
        <w:rPr>
          <w:rFonts w:ascii="华文楷体" w:hAnsi="华文楷体" w:eastAsia="华文楷体"/>
        </w:rPr>
        <w:t>客户经理切入话术: “AI商拍覆盖品牌数上来后，项目回款和研发投入节奏会更重要，我们可以先从现金管理、票据和应收账款角度帮贵司做一版资金效率方案。”</w:t>
      </w:r>
    </w:p>
    <w:p>
      <w:r>
        <w:rPr>
          <w:rFonts w:ascii="华文楷体" w:hAnsi="华文楷体" w:eastAsia="华文楷体"/>
        </w:rPr>
        <w:t>风险提示: AI商拍竞争、客户续约、算法授权价格、应收账款回收和研发费用投入需结合财报和合同进一步核验。</w:t>
      </w:r>
    </w:p>
    <w:p>
      <w:pPr>
        <w:pStyle w:val="Heading2"/>
      </w:pPr>
      <w:r>
        <w:rPr>
          <w:rFonts w:ascii="华文楷体" w:hAnsi="华文楷体" w:eastAsia="华文楷体"/>
        </w:rPr>
        <w:t>企业名称: 网易（杭州）/ 网易智企</w:t>
      </w:r>
    </w:p>
    <w:p>
      <w:pPr>
        <w:pStyle w:val="ListBullet"/>
      </w:pPr>
      <w:r>
        <w:rPr>
          <w:rFonts w:ascii="华文楷体" w:hAnsi="华文楷体" w:eastAsia="华文楷体"/>
        </w:rPr>
        <w:t>推荐等级： 中高</w:t>
      </w:r>
    </w:p>
    <w:p>
      <w:pPr>
        <w:pStyle w:val="ListBullet"/>
      </w:pPr>
      <w:r>
        <w:rPr>
          <w:rFonts w:ascii="华文楷体" w:hAnsi="华文楷体" w:eastAsia="华文楷体"/>
        </w:rPr>
        <w:t>所属赛道： 游戏 / 内容平台 / 企业服务 / AI应用</w:t>
      </w:r>
    </w:p>
    <w:p>
      <w:pPr>
        <w:pStyle w:val="ListBullet"/>
      </w:pPr>
      <w:r>
        <w:rPr>
          <w:rFonts w:ascii="华文楷体" w:hAnsi="华文楷体" w:eastAsia="华文楷体"/>
        </w:rPr>
        <w:t>所在地区： 杭州</w:t>
      </w:r>
    </w:p>
    <w:p>
      <w:pPr>
        <w:pStyle w:val="ListBullet"/>
      </w:pPr>
      <w:r>
        <w:rPr>
          <w:rFonts w:ascii="华文楷体" w:hAnsi="华文楷体" w:eastAsia="华文楷体"/>
        </w:rPr>
        <w:t>产业链位置： 下游应用与场景 / 平台生态服务商</w:t>
      </w:r>
    </w:p>
    <w:p>
      <w:pPr>
        <w:pStyle w:val="ListBullet"/>
      </w:pPr>
      <w:r>
        <w:rPr>
          <w:rFonts w:ascii="华文楷体" w:hAnsi="华文楷体" w:eastAsia="华文楷体"/>
        </w:rPr>
        <w:t>推荐方向： 跨境结算 / 现金管理 / 项目回款 / 代发</w:t>
      </w:r>
    </w:p>
    <w:p>
      <w:r>
        <w:rPr>
          <w:rFonts w:ascii="华文楷体" w:hAnsi="华文楷体" w:eastAsia="华文楷体"/>
        </w:rPr>
        <w:t>企业关键信息:</w:t>
      </w:r>
    </w:p>
    <w:p>
      <w:pPr>
        <w:pStyle w:val="ListBullet"/>
      </w:pPr>
      <w:r>
        <w:rPr>
          <w:rFonts w:ascii="华文楷体" w:hAnsi="华文楷体" w:eastAsia="华文楷体"/>
        </w:rPr>
        <w:t>基本情况: 网易在杭州拥有游戏、互联网内容、企业服务和AI相关业务布局；网易智企近期在杭州举办创新企业大会，聚焦AI落地路径。</w:t>
      </w:r>
    </w:p>
    <w:p>
      <w:pPr>
        <w:pStyle w:val="ListBullet"/>
      </w:pPr>
      <w:r>
        <w:rPr>
          <w:rFonts w:ascii="华文楷体" w:hAnsi="华文楷体" w:eastAsia="华文楷体"/>
        </w:rPr>
        <w:t>高层与团队背景: 网易创始人丁磊公开资料显示长期从事互联网平台、游戏和内容业务；杭州业务具体负责人和技术负责人需按项目待核实。</w:t>
      </w:r>
    </w:p>
    <w:p>
      <w:pPr>
        <w:pStyle w:val="ListBullet"/>
      </w:pPr>
      <w:r>
        <w:rPr>
          <w:rFonts w:ascii="华文楷体" w:hAnsi="华文楷体" w:eastAsia="华文楷体"/>
        </w:rPr>
        <w:t>银行关注点: 游戏出海、AI内容生产、企业通信和客服场景会带来跨境收款、渠道结算、云资源和人员代发需求。</w:t>
      </w:r>
    </w:p>
    <w:p>
      <w:r>
        <w:rPr>
          <w:rFonts w:ascii="华文楷体" w:hAnsi="华文楷体" w:eastAsia="华文楷体"/>
        </w:rPr>
        <w:t>推荐理由:</w:t>
      </w:r>
    </w:p>
    <w:p>
      <w:pPr>
        <w:pStyle w:val="ListBullet"/>
      </w:pPr>
      <w:r>
        <w:rPr>
          <w:rFonts w:ascii="华文楷体" w:hAnsi="华文楷体" w:eastAsia="华文楷体"/>
        </w:rPr>
        <w:t>游戏和内容生产是AI视频、AI美术、AI客服、智能NPC等应用的重要落地场景。</w:t>
      </w:r>
    </w:p>
    <w:p>
      <w:pPr>
        <w:pStyle w:val="ListBullet"/>
      </w:pPr>
      <w:r>
        <w:rPr>
          <w:rFonts w:ascii="华文楷体" w:hAnsi="华文楷体" w:eastAsia="华文楷体"/>
        </w:rPr>
        <w:t>网易企业服务客户涉及音视频、客服、通信和云服务，政企项目和大客户项目可能存在账期。</w:t>
      </w:r>
    </w:p>
    <w:p>
      <w:pPr>
        <w:pStyle w:val="ListBullet"/>
      </w:pPr>
      <w:r>
        <w:rPr>
          <w:rFonts w:ascii="华文楷体" w:hAnsi="华文楷体" w:eastAsia="华文楷体"/>
        </w:rPr>
        <w:t>杭州技术人才密集，代发、员工权益和企业主综合金融有账户黏性价值。</w:t>
      </w:r>
    </w:p>
    <w:p>
      <w:r>
        <w:rPr>
          <w:rFonts w:ascii="华文楷体" w:hAnsi="华文楷体" w:eastAsia="华文楷体"/>
        </w:rPr>
        <w:t>银行展业机会: 网易杭州相关业务的经营场景包括游戏出海、企业服务项目和AI内容生产，金融需求包括跨境回款、汇率管理、项目回款、现金管理和代发。可从跨境支付结算、平安避险、数字财资、慧收款、付融通和平安薪切入。</w:t>
      </w:r>
    </w:p>
    <w:p>
      <w:r>
        <w:rPr>
          <w:rFonts w:ascii="华文楷体" w:hAnsi="华文楷体" w:eastAsia="华文楷体"/>
        </w:rPr>
        <w:t>推荐产品组合: 建议以跨境支付结算和平安避险作为出海业务主推产品，解决海外流水和汇率风险；配套数字财资、付融通、慧收款和平安薪，用于项目回款、资金管理和技术团队服务，额度和期限待沟通。</w:t>
      </w:r>
    </w:p>
    <w:p>
      <w:r>
        <w:rPr>
          <w:rFonts w:ascii="华文楷体" w:hAnsi="华文楷体" w:eastAsia="华文楷体"/>
        </w:rPr>
        <w:t>客户经理切入话术: “网易杭州的AI和企业服务场景越来越多，我们想围绕游戏出海回款、企业服务账期和技术团队代发，看看有没有可落地的结算和财资方案。”</w:t>
      </w:r>
    </w:p>
    <w:p>
      <w:r>
        <w:rPr>
          <w:rFonts w:ascii="华文楷体" w:hAnsi="华文楷体" w:eastAsia="华文楷体"/>
        </w:rPr>
        <w:t>风险提示: 游戏版号、海外发行、内容合规、客户账期、AI素材版权和项目回款需持续关注。</w:t>
      </w:r>
    </w:p>
    <w:p>
      <w:pPr>
        <w:pStyle w:val="Heading2"/>
      </w:pPr>
      <w:r>
        <w:rPr>
          <w:rFonts w:ascii="华文楷体" w:hAnsi="华文楷体" w:eastAsia="华文楷体"/>
        </w:rPr>
        <w:t>企业名称: 阿里巴巴国际站 / 阿里云计算有限公司</w:t>
      </w:r>
    </w:p>
    <w:p>
      <w:pPr>
        <w:pStyle w:val="ListBullet"/>
      </w:pPr>
      <w:r>
        <w:rPr>
          <w:rFonts w:ascii="华文楷体" w:hAnsi="华文楷体" w:eastAsia="华文楷体"/>
        </w:rPr>
        <w:t>推荐等级： 高</w:t>
      </w:r>
    </w:p>
    <w:p>
      <w:pPr>
        <w:pStyle w:val="ListBullet"/>
      </w:pPr>
      <w:r>
        <w:rPr>
          <w:rFonts w:ascii="华文楷体" w:hAnsi="华文楷体" w:eastAsia="华文楷体"/>
        </w:rPr>
        <w:t>所属赛道： 跨境电商 / 云计算 / MaaS / 平台经济</w:t>
      </w:r>
    </w:p>
    <w:p>
      <w:pPr>
        <w:pStyle w:val="ListBullet"/>
      </w:pPr>
      <w:r>
        <w:rPr>
          <w:rFonts w:ascii="华文楷体" w:hAnsi="华文楷体" w:eastAsia="华文楷体"/>
        </w:rPr>
        <w:t>所在地区： 杭州</w:t>
      </w:r>
    </w:p>
    <w:p>
      <w:pPr>
        <w:pStyle w:val="ListBullet"/>
      </w:pPr>
      <w:r>
        <w:rPr>
          <w:rFonts w:ascii="华文楷体" w:hAnsi="华文楷体" w:eastAsia="华文楷体"/>
        </w:rPr>
        <w:t>产业链位置： 上游云与算力 / 中游平台 / 下游交易生态</w:t>
      </w:r>
    </w:p>
    <w:p>
      <w:pPr>
        <w:pStyle w:val="ListBullet"/>
      </w:pPr>
      <w:r>
        <w:rPr>
          <w:rFonts w:ascii="华文楷体" w:hAnsi="华文楷体" w:eastAsia="华文楷体"/>
        </w:rPr>
        <w:t>推荐方向： 平台结算 / 跨境结算 / 供应链金融 / 现金管理</w:t>
      </w:r>
    </w:p>
    <w:p>
      <w:r>
        <w:rPr>
          <w:rFonts w:ascii="华文楷体" w:hAnsi="华文楷体" w:eastAsia="华文楷体"/>
        </w:rPr>
        <w:t>企业关键信息:</w:t>
      </w:r>
    </w:p>
    <w:p>
      <w:pPr>
        <w:pStyle w:val="ListBullet"/>
      </w:pPr>
      <w:r>
        <w:rPr>
          <w:rFonts w:ascii="华文楷体" w:hAnsi="华文楷体" w:eastAsia="华文楷体"/>
        </w:rPr>
        <w:t>基本情况: 阿里巴巴国际站服务B2B跨境贸易，阿里云提供云计算、MaaS和AI基础设施，二者共同支撑AI外贸、跨境商家和开发者生态。</w:t>
      </w:r>
    </w:p>
    <w:p>
      <w:pPr>
        <w:pStyle w:val="ListBullet"/>
      </w:pPr>
      <w:r>
        <w:rPr>
          <w:rFonts w:ascii="华文楷体" w:hAnsi="华文楷体" w:eastAsia="华文楷体"/>
        </w:rPr>
        <w:t>高层与团队背景: 阿里巴巴集团主席蔡崇信及管理团队具备全球资本、平台经营和国际化资源；具体业务线负责人需按拜访对象待核实。</w:t>
      </w:r>
    </w:p>
    <w:p>
      <w:pPr>
        <w:pStyle w:val="ListBullet"/>
      </w:pPr>
      <w:r>
        <w:rPr>
          <w:rFonts w:ascii="华文楷体" w:hAnsi="华文楷体" w:eastAsia="华文楷体"/>
        </w:rPr>
        <w:t>银行关注点: 平台具备批量商户、开发者、ISV和跨境卖家触达能力，是银行做生态结算和场景金融的关键入口。</w:t>
      </w:r>
    </w:p>
    <w:p>
      <w:r>
        <w:rPr>
          <w:rFonts w:ascii="华文楷体" w:hAnsi="华文楷体" w:eastAsia="华文楷体"/>
        </w:rPr>
        <w:t>推荐理由:</w:t>
      </w:r>
    </w:p>
    <w:p>
      <w:pPr>
        <w:pStyle w:val="ListBullet"/>
      </w:pPr>
      <w:r>
        <w:rPr>
          <w:rFonts w:ascii="华文楷体" w:hAnsi="华文楷体" w:eastAsia="华文楷体"/>
        </w:rPr>
        <w:t>阿里巴巴与巴基斯坦围绕AI基础设施、中小企业、电子支付等合作，体现平台出海和AI能力绑定。</w:t>
      </w:r>
    </w:p>
    <w:p>
      <w:pPr>
        <w:pStyle w:val="ListBullet"/>
      </w:pPr>
      <w:r>
        <w:rPr>
          <w:rFonts w:ascii="华文楷体" w:hAnsi="华文楷体" w:eastAsia="华文楷体"/>
        </w:rPr>
        <w:t>阿里国际站在杭州持续举办AI外贸和品牌全球化活动，跨境商家对AI工具、收款、结汇和融资需求上升。</w:t>
      </w:r>
    </w:p>
    <w:p>
      <w:pPr>
        <w:pStyle w:val="ListBullet"/>
      </w:pPr>
      <w:r>
        <w:rPr>
          <w:rFonts w:ascii="华文楷体" w:hAnsi="华文楷体" w:eastAsia="华文楷体"/>
        </w:rPr>
        <w:t>阿里云从云基础设施向AI推理、训练和MaaS服务升级，开发者和ISV生态会带来结算、票据和现金管理机会。</w:t>
      </w:r>
    </w:p>
    <w:p>
      <w:r>
        <w:rPr>
          <w:rFonts w:ascii="华文楷体" w:hAnsi="华文楷体" w:eastAsia="华文楷体"/>
        </w:rPr>
        <w:t>银行展业机会: 阿里生态的经营场景是跨境贸易、云资源消费和开发者/商户平台交易，金融需求包括跨境收款、汇率避险、平台资金分账、商户融资、供应商付款和资金集中管理。可用平安结算通、产业结算通、平台数字贷、跨境支付结算、跨境资金管理、新银关通和平安避险切入。</w:t>
      </w:r>
    </w:p>
    <w:p>
      <w:r>
        <w:rPr>
          <w:rFonts w:ascii="华文楷体" w:hAnsi="华文楷体" w:eastAsia="华文楷体"/>
        </w:rPr>
        <w:t>推荐产品组合: 建议以平安结算通、产业结算通和跨境支付结算为主推产品，解决平台分账、商户收款和跨境资金流；配套平台数字贷、新银关通、平安避险和数字财资，用于商户融资、海关税费、汇率管理和集团财资，具体合作模式待沟通。</w:t>
      </w:r>
    </w:p>
    <w:p>
      <w:r>
        <w:rPr>
          <w:rFonts w:ascii="华文楷体" w:hAnsi="华文楷体" w:eastAsia="华文楷体"/>
        </w:rPr>
        <w:t>客户经理切入话术: “AI外贸会让平台商家在选品、投放、履约和收款上产生新资金需求，我们希望和贵司生态一起看商户结算、跨境收款和小微融资能否做成场景化方案。”</w:t>
      </w:r>
    </w:p>
    <w:p>
      <w:r>
        <w:rPr>
          <w:rFonts w:ascii="华文楷体" w:hAnsi="华文楷体" w:eastAsia="华文楷体"/>
        </w:rPr>
        <w:t>风险提示: 平台支付合规、跨境监管、商户质量、海外政策、云服务价格竞争和生态合作边界需提前评估。</w:t>
      </w:r>
    </w:p>
    <w:p>
      <w:pPr>
        <w:pStyle w:val="Heading1"/>
      </w:pPr>
      <w:r>
        <w:rPr>
          <w:rFonts w:ascii="华文楷体" w:hAnsi="华文楷体" w:eastAsia="华文楷体"/>
        </w:rPr>
        <w:t>四、客户经理行动建议</w:t>
      </w:r>
    </w:p>
    <w:p>
      <w:pPr>
        <w:pStyle w:val="ListNumber"/>
      </w:pPr>
      <w:r>
        <w:rPr>
          <w:rFonts w:ascii="华文楷体" w:hAnsi="华文楷体" w:eastAsia="华文楷体"/>
        </w:rPr>
        <w:t>1. 本周优先拜访 DeepSeek、群核科技、有赞、虹软科技。 先问AI产品商业化、Token或云资源成本、客户回款周期和研发人员扩张，再匹配科创贷、短贷、数字财资、资产池、慧收款和平安薪。</w:t>
      </w:r>
    </w:p>
    <w:p>
      <w:pPr>
        <w:pStyle w:val="ListNumber"/>
      </w:pPr>
      <w:r>
        <w:rPr>
          <w:rFonts w:ascii="华文楷体" w:hAnsi="华文楷体" w:eastAsia="华文楷体"/>
        </w:rPr>
        <w:t>2. 围绕阿里国际站和阿里云生态做平台型营销。 重点不是单一授信，而是争取平台结算、跨境收款、ISV和商户批量融资入口，准备平安结算通、产业结算通、平台数字贷、跨境支付结算和平安避险方案。</w:t>
      </w:r>
    </w:p>
    <w:p>
      <w:pPr>
        <w:pStyle w:val="ListNumber"/>
      </w:pPr>
      <w:r>
        <w:rPr>
          <w:rFonts w:ascii="华文楷体" w:hAnsi="华文楷体" w:eastAsia="华文楷体"/>
        </w:rPr>
        <w:t>3. 对网易智企、虹软科技等项目型AI企业，重点切入应收账款和项目回款。 准备付融通、商票保贴、商票e贴、国内信用证和数字财资方案，拜访时直接询问大客户账期、票据收款和回款集中管理。</w:t>
      </w:r>
    </w:p>
    <w:p>
      <w:pPr>
        <w:pStyle w:val="ListNumber"/>
      </w:pPr>
      <w:r>
        <w:rPr>
          <w:rFonts w:ascii="华文楷体" w:hAnsi="华文楷体" w:eastAsia="华文楷体"/>
        </w:rPr>
        <w:t>4. 建立浙江AI Token消费企业清单。 按“模型/API平台、AI SaaS、AI商拍/视频、AI客服/营销、跨境AI工具、云与数据服务”分类，记录云资源预付、Token消耗、订阅回款、跨境收入和技术人员规模。</w:t>
      </w:r>
    </w:p>
    <w:p>
      <w:pPr>
        <w:pStyle w:val="ListNumber"/>
      </w:pPr>
      <w:r>
        <w:rPr>
          <w:rFonts w:ascii="华文楷体" w:hAnsi="华文楷体" w:eastAsia="华文楷体"/>
        </w:rPr>
        <w:t>5. 内部联动产品经理。 对平台结算和跨境场景提前联动交易银行、跨境金融、普惠金融和公司产品经理；对上市公司和拟上市企业联动平安证券、债券承销和资本市场融资资源。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华文楷体" w:hAnsi="华文楷体" w:eastAsia="华文楷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华文楷体" w:hAnsi="华文楷体" w:eastAsia="华文楷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华文楷体" w:hAnsi="华文楷体" w:eastAsia="华文楷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华文楷体" w:hAnsi="华文楷体" w:eastAsia="华文楷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