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华文楷体" w:hAnsi="华文楷体" w:eastAsia="华文楷体"/>
          <w:b/>
          <w:sz w:val="36"/>
        </w:rPr>
        <w:t>AI行业商机周报</w:t>
      </w:r>
    </w:p>
    <w:p>
      <w:r>
        <w:rPr>
          <w:rFonts w:ascii="华文楷体" w:hAnsi="华文楷体" w:eastAsia="华文楷体"/>
          <w:sz w:val="24"/>
        </w:rPr>
        <w:t>覆盖周期： 2026.05.15-05.21</w:t>
      </w:r>
    </w:p>
    <w:p>
      <w:r>
        <w:rPr>
          <w:rFonts w:ascii="华文楷体" w:hAnsi="华文楷体" w:eastAsia="华文楷体"/>
          <w:sz w:val="24"/>
        </w:rPr>
        <w:t>资料来源： 同花顺首页、财联社电报、新华网科技、经济观察网、机器之心、36氪AI频道、科创板日报、杭州网/中国日报浙江频道、iFinD新闻与公告检索、上市公司公告与公开资料。</w:t>
      </w:r>
    </w:p>
    <w:p>
      <w:r>
        <w:rPr>
          <w:rFonts w:ascii="华文楷体" w:hAnsi="华文楷体" w:eastAsia="华文楷体"/>
          <w:b/>
          <w:sz w:val="30"/>
        </w:rPr>
        <w:t>一、行业动态与发展总结</w:t>
      </w:r>
    </w:p>
    <w:p>
      <w:r>
        <w:rPr>
          <w:rFonts w:ascii="华文楷体" w:hAnsi="华文楷体" w:eastAsia="华文楷体"/>
          <w:b/>
          <w:sz w:val="26"/>
        </w:rPr>
        <w:t>1. 近期政策变动</w:t>
      </w:r>
    </w:p>
    <w:p>
      <w:r>
        <w:rPr>
          <w:rFonts w:ascii="华文楷体" w:hAnsi="华文楷体" w:eastAsia="华文楷体"/>
          <w:sz w:val="24"/>
        </w:rPr>
        <w:t>本周行业政策主线仍围绕“人工智能+”、未来产业、智能制造和终端标准化展开。国家层面对人工智能的定位已经从单点技术突破转向产业基础设施：模型、算力、数据、终端、场景验证和安全治理需要协同推进。新华网科技频道本周集中呈现了《人工智能终端智能化分级》系列国家标准发布、算力网夯实智能经济根基、人工智能相关领域销售收入增长明显等信号，说明政策端正在把 AI 终端、算力网络和行业应用纳入可度量、可监管、可采购的产业体系。</w:t>
      </w:r>
    </w:p>
    <w:p>
      <w:r>
        <w:rPr>
          <w:rFonts w:ascii="华文楷体" w:hAnsi="华文楷体" w:eastAsia="华文楷体"/>
          <w:sz w:val="24"/>
        </w:rPr>
        <w:t>制造业方向上，iFinD公告检索显示，近期上市公司募投材料持续引用“人工智能+制造”“汽车行业数字化转型”“智能机器人规模化应用”等政策框架。政策重点不是简单鼓励企业上模型，而是推动研发设计、生产制造、经营管理环节形成行业大模型、智能体、具身智能示范产线和智能制造系统解决方案供应商。</w:t>
      </w:r>
    </w:p>
    <w:p>
      <w:r>
        <w:rPr>
          <w:rFonts w:ascii="华文楷体" w:hAnsi="华文楷体" w:eastAsia="华文楷体"/>
          <w:sz w:val="24"/>
        </w:rPr>
        <w:t>资本市场与产业融资方面，定增、募投、产业基金和国资资本继续向 AI 算力、存储、机器人和工业智能装备集中。江波龙公告显示其募投方向包含面向 AI 领域的高端存储器研发及产业化、半导体存储主控芯片系列研发；天奇股份公告显示其募投方向包含面向汽车行业应用的机器人具身智能系统研发中心。这类公告意味着 AI 已经从互联网应用扩展到半导体、汽车装备、工业控制等重资产环节。</w:t>
      </w:r>
    </w:p>
    <w:p>
      <w:r>
        <w:rPr>
          <w:rFonts w:ascii="华文楷体" w:hAnsi="华文楷体" w:eastAsia="华文楷体"/>
          <w:sz w:val="24"/>
        </w:rPr>
        <w:t>综合影响闭环： 政策和资本共同把 AI 产业推向“硬件基础设施 + 场景落地 + 标准治理”的阶段。企业端会出现三类金融需求：一是算力、存储、机器人设备采购带来的中长期资金需求；二是订单交付、备货、应收账款增加带来的流动资金和票据需求；三是平台型企业、核心企业牵引上下游时产生的供应链金融和现金管理需求。客户经理应优先围绕“扩产/研发投入/设备采购/订单交付/出海收款”发问，而不是泛泛推科技金融。</w:t>
      </w:r>
    </w:p>
    <w:p>
      <w:r>
        <w:rPr>
          <w:rFonts w:ascii="华文楷体" w:hAnsi="华文楷体" w:eastAsia="华文楷体"/>
          <w:b/>
          <w:sz w:val="26"/>
        </w:rPr>
        <w:t>2. 政府规划与产业方向</w:t>
      </w:r>
    </w:p>
    <w:p>
      <w:r>
        <w:rPr>
          <w:rFonts w:ascii="华文楷体" w:hAnsi="华文楷体" w:eastAsia="华文楷体"/>
          <w:sz w:val="24"/>
        </w:rPr>
        <w:t>国家层面产业方向清晰集中在四条线：第一，智能算力基础设施，包含智算中心、算力网络、AI 服务器、存储、光模块和电力配套；第二，大模型与智能体，从通用模型竞争转向行业模型、编码智能体、办公智能体和工业智能体；第三，具身智能与机器人，尤其是工业、物流、巡检、文旅、服务等可验证场景；第四，AI 终端与边缘智能，包括手机、眼镜、机器人、车载终端与工业设备。</w:t>
      </w:r>
    </w:p>
    <w:p>
      <w:r>
        <w:rPr>
          <w:rFonts w:ascii="华文楷体" w:hAnsi="华文楷体" w:eastAsia="华文楷体"/>
          <w:sz w:val="24"/>
        </w:rPr>
        <w:t>从银行视角看，规划方向对应的不是单一客户，而是一组链式机会。算力侧适合抓设备融资、项目贷款、银团融资、票据和供应商保理；模型与软件侧适合抓科创贷、普惠信用贷、代发和现金管理；机器人与智能装备侧适合抓订单融资、租赁、供应链金融和跨境结算；AI 终端侧适合抓核心企业上下游批量获客和经销商订货贷。</w:t>
      </w:r>
    </w:p>
    <w:p>
      <w:r>
        <w:rPr>
          <w:rFonts w:ascii="华文楷体" w:hAnsi="华文楷体" w:eastAsia="华文楷体"/>
          <w:b/>
          <w:sz w:val="26"/>
        </w:rPr>
        <w:t>3. 行业发展趋势</w:t>
      </w:r>
    </w:p>
    <w:p>
      <w:r>
        <w:rPr>
          <w:rFonts w:ascii="华文楷体" w:hAnsi="华文楷体" w:eastAsia="华文楷体"/>
          <w:sz w:val="24"/>
        </w:rPr>
        <w:t>AI 行业处于上行但明显分化阶段。上游算力硬件、存储、光模块、先进封装、电源和散热环节景气度高，资本开支和订单能见度较好；中游大模型进入头部集中和商业化验证期，估值与融资向少数头部集中；下游应用从“演示型”转为“可付费、可交付、可复用”的场景型产品，工业机器人、AI办公、AI编程、文旅导览、物流巡检等先落地。</w:t>
      </w:r>
    </w:p>
    <w:p>
      <w:r>
        <w:rPr>
          <w:rFonts w:ascii="华文楷体" w:hAnsi="华文楷体" w:eastAsia="华文楷体"/>
          <w:sz w:val="24"/>
        </w:rPr>
        <w:t>风险也在同步上升：一是算力和机器人链条重资产扩张快，若订单兑现不及预期，存货和现金流压力会放大；二是模型企业估值上升快，商业收入和毛利尚需验证；三是硬件产品迭代快，客户集中度、技术路线切换和海外合规风险需要提前识别。银行客户筛选应优先看真实订单、核心客户、回款周期、供应链位置和技术团队稳定性。</w:t>
      </w:r>
    </w:p>
    <w:p>
      <w:r>
        <w:rPr>
          <w:rFonts w:ascii="华文楷体" w:hAnsi="华文楷体" w:eastAsia="华文楷体"/>
          <w:b/>
          <w:sz w:val="26"/>
        </w:rPr>
        <w:t>4. 上下游产业链动态</w:t>
      </w:r>
    </w:p>
    <w:p>
      <w:r>
        <w:rPr>
          <w:rFonts w:ascii="华文楷体" w:hAnsi="华文楷体" w:eastAsia="华文楷体"/>
          <w:sz w:val="24"/>
        </w:rPr>
        <w:t>上游：AI 芯片、GPU/ASIC、HBM/DRAM、光模块、电力设备和服务器仍是资金密集环节。财联社本周关于 ARM 市值突破 3000 亿美元、存储概念股走高、全球算力开支重资产扩张的报道，说明市场对底层算力需求仍保持高预期。上游企业资金需求集中在研发、设备采购、库存备货和账期融资。</w:t>
      </w:r>
    </w:p>
    <w:p>
      <w:r>
        <w:rPr>
          <w:rFonts w:ascii="华文楷体" w:hAnsi="华文楷体" w:eastAsia="华文楷体"/>
          <w:sz w:val="24"/>
        </w:rPr>
        <w:t>中游：大模型与行业平台进入商业化兑现期，企业更看重推理成本、模型稳定性、私有化部署和场景数据。中游公司现金流常见特征是研发投入高、项目制回款慢、应收账款占用大，适合科创贷、普惠信用贷、资产池、数字财资和代发切入。</w:t>
      </w:r>
    </w:p>
    <w:p>
      <w:r>
        <w:rPr>
          <w:rFonts w:ascii="华文楷体" w:hAnsi="华文楷体" w:eastAsia="华文楷体"/>
          <w:sz w:val="24"/>
        </w:rPr>
        <w:t>下游：机器人、智能制造、AI 终端和行业应用正在从试点走向批量交付。具身智能企业需要本体制造、零部件采购、场景验证、售后服务和海外渠道建设，资金占用会明显增加。若核心企业与供应商、集成商、经销商关系清晰，适合用订单融资、付融通、商票e贴、订货贷和平台数字贷做链式开发。</w:t>
      </w:r>
    </w:p>
    <w:p>
      <w:r>
        <w:rPr>
          <w:rFonts w:ascii="华文楷体" w:hAnsi="华文楷体" w:eastAsia="华文楷体"/>
          <w:b/>
          <w:sz w:val="30"/>
        </w:rPr>
        <w:t>二、浙江地区动态与区域机会</w:t>
      </w:r>
    </w:p>
    <w:p>
      <w:r>
        <w:rPr>
          <w:rFonts w:ascii="华文楷体" w:hAnsi="华文楷体" w:eastAsia="华文楷体"/>
          <w:b/>
          <w:sz w:val="26"/>
        </w:rPr>
        <w:t>1. 浙江政策与政府规划</w:t>
      </w:r>
    </w:p>
    <w:p>
      <w:r>
        <w:rPr>
          <w:rFonts w:ascii="华文楷体" w:hAnsi="华文楷体" w:eastAsia="华文楷体"/>
          <w:sz w:val="24"/>
        </w:rPr>
        <w:t>浙江本周最重要信号是杭州滨江国家人工智能应用中试基地（具身智能）正式揭牌。公开报道显示，该基地聚焦具身智能方向，定位为算力保障、数据开放、模型服务、场景验证等公共技术服务平台，现场还有国家级学会、高校、合伙企业、投资机构与企业对接。宇树科技、强脑科技等杭州具身智能代表企业同步发布新品或参与生态共建。</w:t>
      </w:r>
    </w:p>
    <w:p>
      <w:r>
        <w:rPr>
          <w:rFonts w:ascii="华文楷体" w:hAnsi="华文楷体" w:eastAsia="华文楷体"/>
          <w:sz w:val="24"/>
        </w:rPr>
        <w:t>这意味着杭州正在把“模型—本体—数据—场景—资本”组织成可中试、可验证、可招商、可落地的产业平台。对本地企业的影响是：场景验证成本下降、公共服务资源集中、政府与产业资本对接效率提高；对银行的影响是：具身智能企业及上下游会出现研发投入、样机制造、设备采购、租赁交付、订单交付和海外结算需求。</w:t>
      </w:r>
    </w:p>
    <w:p>
      <w:r>
        <w:rPr>
          <w:rFonts w:ascii="华文楷体" w:hAnsi="华文楷体" w:eastAsia="华文楷体"/>
          <w:sz w:val="24"/>
        </w:rPr>
        <w:t>宁波、绍兴、嘉兴、湖州等地的 AI 机会更多体现在制造业智能化改造、工业视觉、工业软件、汽车零部件、智能装备和机器人零部件。浙江“415X”先进制造业集群中，高端装备、智能物联、现代消费与数字经济均与 AI 深度相关，客户经理可围绕当地优势制造业寻找“AI+制造”改造项目。</w:t>
      </w:r>
    </w:p>
    <w:p>
      <w:r>
        <w:rPr>
          <w:rFonts w:ascii="华文楷体" w:hAnsi="华文楷体" w:eastAsia="华文楷体"/>
          <w:b/>
          <w:sz w:val="26"/>
        </w:rPr>
        <w:t>2. 浙江重点产业与区域机会</w:t>
      </w:r>
    </w:p>
    <w:p>
      <w:r>
        <w:rPr>
          <w:rFonts w:ascii="华文楷体" w:hAnsi="华文楷体" w:eastAsia="华文楷体"/>
          <w:sz w:val="24"/>
        </w:rPr>
        <w:t>杭州：重点围绕滨江、余杭、萧山等区域，关注具身智能、机器人、大模型应用、智能视觉、脑机接口和工业软件。优先扫客类型包括机器人本体企业、灵巧手/传感器/电机/减速器供应商、工业视觉与移动机器人企业、AI应用服务商。</w:t>
      </w:r>
    </w:p>
    <w:p>
      <w:r>
        <w:rPr>
          <w:rFonts w:ascii="华文楷体" w:hAnsi="华文楷体" w:eastAsia="华文楷体"/>
          <w:sz w:val="24"/>
        </w:rPr>
        <w:t>宁波：制造业基础强，适合从“AI+工业质检”“机器人+汽车零部件”“智能装备+港口物流”切入。客户经理可关注拥有大客户订单、产线改造、设备采购和出口场景的企业。</w:t>
      </w:r>
    </w:p>
    <w:p>
      <w:r>
        <w:rPr>
          <w:rFonts w:ascii="华文楷体" w:hAnsi="华文楷体" w:eastAsia="华文楷体"/>
          <w:sz w:val="24"/>
        </w:rPr>
        <w:t>绍兴、嘉兴、湖州、金华：适合围绕纺织、化工新材料、汽车零部件、物流仓储、电商供应链做 AI 赋能。银行机会不一定在纯 AI 公司，也可能在采用 AI 设备和智能制造系统的优质制造企业。</w:t>
      </w:r>
    </w:p>
    <w:p>
      <w:r>
        <w:rPr>
          <w:rFonts w:ascii="华文楷体" w:hAnsi="华文楷体" w:eastAsia="华文楷体"/>
          <w:b/>
          <w:sz w:val="26"/>
        </w:rPr>
        <w:t>3. 浙江上下游产业链动态</w:t>
      </w:r>
    </w:p>
    <w:p>
      <w:r>
        <w:rPr>
          <w:rFonts w:ascii="华文楷体" w:hAnsi="华文楷体" w:eastAsia="华文楷体"/>
          <w:sz w:val="24"/>
        </w:rPr>
        <w:t>浙江 AI 产业链具备明显的“应用牵引型”特征。上游包括传感器、控制器、伺服、电机、结构件、工业相机、边缘计算设备和服务器；中游包括机器人本体、工业视觉、工业软件、数据平台和行业模型；下游包括智能制造、仓储物流、电力巡检、文旅服务、医疗康复、教育科研和跨境销售。</w:t>
      </w:r>
    </w:p>
    <w:p>
      <w:r>
        <w:rPr>
          <w:rFonts w:ascii="华文楷体" w:hAnsi="华文楷体" w:eastAsia="华文楷体"/>
          <w:sz w:val="24"/>
        </w:rPr>
        <w:t>资金占用更大的环节主要在机器人本体制造、核心零部件备货、场景交付和海外销售。核心企业若形成稳定采购关系，可以带动上游零部件、加工制造、系统集成和经销渠道批量获客。杭州分行应重点观察宇树科技、云深处科技、强脑科技、海康机器人、中控技术等企业及其周边供应商。</w:t>
      </w:r>
    </w:p>
    <w:p>
      <w:r>
        <w:rPr>
          <w:rFonts w:ascii="华文楷体" w:hAnsi="华文楷体" w:eastAsia="华文楷体"/>
          <w:b/>
          <w:sz w:val="26"/>
        </w:rPr>
        <w:t>4. 银行展业机会</w:t>
      </w:r>
    </w:p>
    <w:p>
      <w:r>
        <w:rPr>
          <w:rFonts w:ascii="华文楷体" w:hAnsi="华文楷体" w:eastAsia="华文楷体"/>
          <w:sz w:val="24"/>
        </w:rPr>
        <w:t>1. 具身智能中试基地带来的设备采购、样机制造和场景验证需求，可用科技创新和技术更新改造再贷款、平安租赁、普惠金融科创贷切入。</w:t>
      </w:r>
    </w:p>
    <w:p>
      <w:r>
        <w:rPr>
          <w:rFonts w:ascii="华文楷体" w:hAnsi="华文楷体" w:eastAsia="华文楷体"/>
          <w:sz w:val="24"/>
        </w:rPr>
        <w:t>2. 机器人企业订单交付和海外销售增加，会带来备货、应收、外币收款和汇率管理需求，可用订单融资、付融通、跨境支付结算、外币存款、平安避险组合服务。</w:t>
      </w:r>
    </w:p>
    <w:p>
      <w:r>
        <w:rPr>
          <w:rFonts w:ascii="华文楷体" w:hAnsi="华文楷体" w:eastAsia="华文楷体"/>
          <w:sz w:val="24"/>
        </w:rPr>
        <w:t>3. 工业视觉、移动机器人、工业软件企业多为项目制回款，适合从普惠金融信用贷、银票极速贴现、商票e贴、资产池和数字财资切入。</w:t>
      </w:r>
    </w:p>
    <w:p>
      <w:r>
        <w:rPr>
          <w:rFonts w:ascii="华文楷体" w:hAnsi="华文楷体" w:eastAsia="华文楷体"/>
          <w:sz w:val="24"/>
        </w:rPr>
        <w:t>4. 核心企业上下游供应商较多，可围绕核心企业设计供应链金融场景，用付融通、订货贷、平台数字贷和票据贴现开放银行做批量获客。</w:t>
      </w:r>
    </w:p>
    <w:p>
      <w:r>
        <w:rPr>
          <w:rFonts w:ascii="华文楷体" w:hAnsi="华文楷体" w:eastAsia="华文楷体"/>
          <w:sz w:val="24"/>
        </w:rPr>
        <w:t>5. 高研发、年轻化团队企业员工规模上升，可配套平安薪、口袋管家、橙e贷、家族信托和私人理财权益，做企业主与员工综合经营。</w:t>
      </w:r>
    </w:p>
    <w:p>
      <w:r>
        <w:rPr>
          <w:rFonts w:ascii="华文楷体" w:hAnsi="华文楷体" w:eastAsia="华文楷体"/>
          <w:b/>
          <w:sz w:val="30"/>
        </w:rPr>
        <w:t>三、重点企业推荐</w:t>
      </w:r>
    </w:p>
    <w:p>
      <w:r>
        <w:rPr>
          <w:rFonts w:ascii="华文楷体" w:hAnsi="华文楷体" w:eastAsia="华文楷体"/>
          <w:b/>
          <w:sz w:val="26"/>
        </w:rPr>
        <w:t>企业名称：杭州宇树科技股份有限公司</w:t>
      </w:r>
    </w:p>
    <w:p>
      <w:r>
        <w:rPr>
          <w:rFonts w:ascii="华文楷体" w:hAnsi="华文楷体" w:eastAsia="华文楷体"/>
          <w:sz w:val="24"/>
        </w:rPr>
        <w:t>推荐等级：高</w:t>
      </w:r>
    </w:p>
    <w:p>
      <w:r>
        <w:rPr>
          <w:rFonts w:ascii="华文楷体" w:hAnsi="华文楷体" w:eastAsia="华文楷体"/>
          <w:sz w:val="24"/>
        </w:rPr>
        <w:t>所属行业：具身智能/人形机器人/四足机器人</w:t>
      </w:r>
    </w:p>
    <w:p>
      <w:r>
        <w:rPr>
          <w:rFonts w:ascii="华文楷体" w:hAnsi="华文楷体" w:eastAsia="华文楷体"/>
          <w:sz w:val="24"/>
        </w:rPr>
        <w:t>所在地区：杭州</w:t>
      </w:r>
    </w:p>
    <w:p>
      <w:r>
        <w:rPr>
          <w:rFonts w:ascii="华文楷体" w:hAnsi="华文楷体" w:eastAsia="华文楷体"/>
          <w:sz w:val="24"/>
        </w:rPr>
        <w:t>产业链位置：中游本体与平台型</w:t>
      </w:r>
    </w:p>
    <w:p>
      <w:r>
        <w:rPr>
          <w:rFonts w:ascii="华文楷体" w:hAnsi="华文楷体" w:eastAsia="华文楷体"/>
          <w:sz w:val="24"/>
        </w:rPr>
        <w:t>推荐方向：流动资金、供应链金融、跨境结算、票据、现金管理、代发、综合金融</w:t>
      </w:r>
    </w:p>
    <w:p>
      <w:r>
        <w:rPr>
          <w:rFonts w:ascii="华文楷体" w:hAnsi="华文楷体" w:eastAsia="华文楷体"/>
          <w:sz w:val="24"/>
        </w:rPr>
        <w:t>企业关键信息：</w:t>
      </w:r>
    </w:p>
    <w:p>
      <w:r>
        <w:rPr>
          <w:rFonts w:ascii="华文楷体" w:hAnsi="华文楷体" w:eastAsia="华文楷体"/>
          <w:sz w:val="24"/>
        </w:rPr>
        <w:t>基本情况：公司成立于杭州，主营四足机器人、人形机器人及机器人运动控制相关产品，面向科研教育、工业巡检、文旅展示、开发者生态和海外市场。近期杭州具身智能大会及中试基地相关报道中，公司作为本地头部企业参与生态共建并发布 GD01 载人变形机甲等新品。</w:t>
      </w:r>
    </w:p>
    <w:p>
      <w:r>
        <w:rPr>
          <w:rFonts w:ascii="华文楷体" w:hAnsi="华文楷体" w:eastAsia="华文楷体"/>
          <w:sz w:val="24"/>
        </w:rPr>
        <w:t>高层与团队背景：公开资料显示，创始人王兴兴曾在高校阶段开发四足机器人原型，具备机械、控制和机器人产品工程化背景，曾有头部硬件企业工作经历；具体导师、CFO等信息未披露/待核实。</w:t>
      </w:r>
    </w:p>
    <w:p>
      <w:r>
        <w:rPr>
          <w:rFonts w:ascii="华文楷体" w:hAnsi="华文楷体" w:eastAsia="华文楷体"/>
          <w:sz w:val="24"/>
        </w:rPr>
        <w:t>银行关注点：创始团队技术产品化能力强，品牌与海外销售基础较好；公司从研发样机走向批量交付后，备货、供应商账期、出口结算和汇率管理需求会提升。</w:t>
      </w:r>
    </w:p>
    <w:p>
      <w:r>
        <w:rPr>
          <w:rFonts w:ascii="华文楷体" w:hAnsi="华文楷体" w:eastAsia="华文楷体"/>
          <w:sz w:val="24"/>
        </w:rPr>
        <w:t>推荐理由：</w:t>
      </w:r>
    </w:p>
    <w:p>
      <w:r>
        <w:rPr>
          <w:rFonts w:ascii="华文楷体" w:hAnsi="华文楷体" w:eastAsia="华文楷体"/>
          <w:sz w:val="24"/>
        </w:rPr>
        <w:t>- 杭州国家级具身智能中试基地揭牌，公司处于本地机器人生态核心位置，政策与场景资源匹配度高。</w:t>
      </w:r>
    </w:p>
    <w:p>
      <w:r>
        <w:rPr>
          <w:rFonts w:ascii="华文楷体" w:hAnsi="华文楷体" w:eastAsia="华文楷体"/>
          <w:sz w:val="24"/>
        </w:rPr>
        <w:t>- 机器人产品从展示、科研向文旅、巡检、工业等场景扩展，供应链和交付体系会持续放大资金需求。</w:t>
      </w:r>
    </w:p>
    <w:p>
      <w:r>
        <w:rPr>
          <w:rFonts w:ascii="华文楷体" w:hAnsi="华文楷体" w:eastAsia="华文楷体"/>
          <w:sz w:val="24"/>
        </w:rPr>
        <w:t>- 公开报道显示其海外收入占比较高，出海结算、外币资金和避险需求明确。</w:t>
      </w:r>
    </w:p>
    <w:p>
      <w:r>
        <w:rPr>
          <w:rFonts w:ascii="华文楷体" w:hAnsi="华文楷体" w:eastAsia="华文楷体"/>
          <w:sz w:val="24"/>
        </w:rPr>
        <w:t>银行展业机会：</w:t>
      </w:r>
    </w:p>
    <w:p>
      <w:r>
        <w:rPr>
          <w:rFonts w:ascii="华文楷体" w:hAnsi="华文楷体" w:eastAsia="华文楷体"/>
          <w:sz w:val="24"/>
        </w:rPr>
        <w:t>企业新品迭代和批量交付会带来核心零部件采购、生产备货和供应商账期需求，可用订单融资、付融通、银票无感贴现解决供应链现金流；海外销售带来跨境收付款、外币存款、平安避险需求；员工扩张和研发团队稳定可切入平安薪、口袋管家。</w:t>
      </w:r>
    </w:p>
    <w:p>
      <w:r>
        <w:rPr>
          <w:rFonts w:ascii="华文楷体" w:hAnsi="华文楷体" w:eastAsia="华文楷体"/>
          <w:sz w:val="24"/>
        </w:rPr>
        <w:t>推荐产品组合：</w:t>
      </w:r>
    </w:p>
    <w:p>
      <w:r>
        <w:rPr>
          <w:rFonts w:ascii="华文楷体" w:hAnsi="华文楷体" w:eastAsia="华文楷体"/>
          <w:sz w:val="24"/>
        </w:rPr>
        <w:t>建议以订单融资和跨境支付结算作为主推产品，解决机器人订单交付与海外回款场景；配套付融通、银票无感贴现、外币存款、平安避险和数字财资，用于供应商付款、汇率风险管理和多账户资金归集。额度、期限、费率待沟通。</w:t>
      </w:r>
    </w:p>
    <w:p>
      <w:r>
        <w:rPr>
          <w:rFonts w:ascii="华文楷体" w:hAnsi="华文楷体" w:eastAsia="华文楷体"/>
          <w:sz w:val="24"/>
        </w:rPr>
        <w:t>客户经理切入话术：</w:t>
      </w:r>
    </w:p>
    <w:p>
      <w:r>
        <w:rPr>
          <w:rFonts w:ascii="华文楷体" w:hAnsi="华文楷体" w:eastAsia="华文楷体"/>
          <w:sz w:val="24"/>
        </w:rPr>
        <w:t>“我们关注到杭州具身智能中试基地落地后，机器人企业会更快进入场景验证和批量交付。想和您聊聊今年订单交付、供应商付款和海外收款节奏，看看能否用供应链金融和跨境结算帮您降低资金占用。”</w:t>
      </w:r>
    </w:p>
    <w:p>
      <w:r>
        <w:rPr>
          <w:rFonts w:ascii="华文楷体" w:hAnsi="华文楷体" w:eastAsia="华文楷体"/>
          <w:sz w:val="24"/>
        </w:rPr>
        <w:t>风险提示：</w:t>
      </w:r>
    </w:p>
    <w:p>
      <w:r>
        <w:rPr>
          <w:rFonts w:ascii="华文楷体" w:hAnsi="华文楷体" w:eastAsia="华文楷体"/>
          <w:sz w:val="24"/>
        </w:rPr>
        <w:t>机器人行业技术迭代快、硬件毛利和售后成本波动较大；海外销售涉及贸易合规和汇率风险；仍需结合征信、流水、财报、订单合同、供应商结构和实地尽调确认。</w:t>
      </w:r>
    </w:p>
    <w:p>
      <w:r>
        <w:rPr>
          <w:rFonts w:ascii="华文楷体" w:hAnsi="华文楷体" w:eastAsia="华文楷体"/>
          <w:b/>
          <w:sz w:val="26"/>
        </w:rPr>
        <w:t>企业名称：杭州云深处科技有限公司</w:t>
      </w:r>
    </w:p>
    <w:p>
      <w:r>
        <w:rPr>
          <w:rFonts w:ascii="华文楷体" w:hAnsi="华文楷体" w:eastAsia="华文楷体"/>
          <w:sz w:val="24"/>
        </w:rPr>
        <w:t>推荐等级：高</w:t>
      </w:r>
    </w:p>
    <w:p>
      <w:r>
        <w:rPr>
          <w:rFonts w:ascii="华文楷体" w:hAnsi="华文楷体" w:eastAsia="华文楷体"/>
          <w:sz w:val="24"/>
        </w:rPr>
        <w:t>所属行业：四足机器人/工业巡检/具身智能</w:t>
      </w:r>
    </w:p>
    <w:p>
      <w:r>
        <w:rPr>
          <w:rFonts w:ascii="华文楷体" w:hAnsi="华文楷体" w:eastAsia="华文楷体"/>
          <w:sz w:val="24"/>
        </w:rPr>
        <w:t>所在地区：杭州</w:t>
      </w:r>
    </w:p>
    <w:p>
      <w:r>
        <w:rPr>
          <w:rFonts w:ascii="华文楷体" w:hAnsi="华文楷体" w:eastAsia="华文楷体"/>
          <w:sz w:val="24"/>
        </w:rPr>
        <w:t>产业链位置：中游本体与行业应用</w:t>
      </w:r>
    </w:p>
    <w:p>
      <w:r>
        <w:rPr>
          <w:rFonts w:ascii="华文楷体" w:hAnsi="华文楷体" w:eastAsia="华文楷体"/>
          <w:sz w:val="24"/>
        </w:rPr>
        <w:t>推荐方向：流动资金、供应链金融、票据、现金管理、综合金融</w:t>
      </w:r>
    </w:p>
    <w:p>
      <w:r>
        <w:rPr>
          <w:rFonts w:ascii="华文楷体" w:hAnsi="华文楷体" w:eastAsia="华文楷体"/>
          <w:sz w:val="24"/>
        </w:rPr>
        <w:t>企业关键信息：</w:t>
      </w:r>
    </w:p>
    <w:p>
      <w:r>
        <w:rPr>
          <w:rFonts w:ascii="华文楷体" w:hAnsi="华文楷体" w:eastAsia="华文楷体"/>
          <w:sz w:val="24"/>
        </w:rPr>
        <w:t>基本情况：公司聚焦四足机器人及行业解决方案，公开资料显示其产品应用于电力巡检、消防、应急、园区安防等场景，属于杭州机器人产业链重要企业。</w:t>
      </w:r>
    </w:p>
    <w:p>
      <w:r>
        <w:rPr>
          <w:rFonts w:ascii="华文楷体" w:hAnsi="华文楷体" w:eastAsia="华文楷体"/>
          <w:sz w:val="24"/>
        </w:rPr>
        <w:t>高层与团队背景：公开资料显示公司核心团队具有浙江大学机器人、控制、感知相关科研和产业化背景；创始人/核心负责人具体导师及财务负责人信息未披露/待核实。</w:t>
      </w:r>
    </w:p>
    <w:p>
      <w:r>
        <w:rPr>
          <w:rFonts w:ascii="华文楷体" w:hAnsi="华文楷体" w:eastAsia="华文楷体"/>
          <w:sz w:val="24"/>
        </w:rPr>
        <w:t>银行关注点：行业客户项目制交付特征明显，可能存在回款周期、备货和项目保证金需求；高校与科研背景有利于技术迭代，但商业化回款质量需跟踪。</w:t>
      </w:r>
    </w:p>
    <w:p>
      <w:r>
        <w:rPr>
          <w:rFonts w:ascii="华文楷体" w:hAnsi="华文楷体" w:eastAsia="华文楷体"/>
          <w:sz w:val="24"/>
        </w:rPr>
        <w:t>推荐理由：</w:t>
      </w:r>
    </w:p>
    <w:p>
      <w:r>
        <w:rPr>
          <w:rFonts w:ascii="华文楷体" w:hAnsi="华文楷体" w:eastAsia="华文楷体"/>
          <w:sz w:val="24"/>
        </w:rPr>
        <w:t>- 四足机器人在电力巡检、应急消防等场景较早具备商业化基础，符合具身智能从实验室走向行业应用的主线。</w:t>
      </w:r>
    </w:p>
    <w:p>
      <w:r>
        <w:rPr>
          <w:rFonts w:ascii="华文楷体" w:hAnsi="华文楷体" w:eastAsia="华文楷体"/>
          <w:sz w:val="24"/>
        </w:rPr>
        <w:t>- 杭州国家级中试基地有利于公司获得更多场景验证和生态资源。</w:t>
      </w:r>
    </w:p>
    <w:p>
      <w:r>
        <w:rPr>
          <w:rFonts w:ascii="华文楷体" w:hAnsi="华文楷体" w:eastAsia="华文楷体"/>
          <w:sz w:val="24"/>
        </w:rPr>
        <w:t>- 项目制订单、政府和大型企业客户可能带来票据、保函、应收账款和现金管理机会。</w:t>
      </w:r>
    </w:p>
    <w:p>
      <w:r>
        <w:rPr>
          <w:rFonts w:ascii="华文楷体" w:hAnsi="华文楷体" w:eastAsia="华文楷体"/>
          <w:sz w:val="24"/>
        </w:rPr>
        <w:t>银行展业机会：</w:t>
      </w:r>
    </w:p>
    <w:p>
      <w:r>
        <w:rPr>
          <w:rFonts w:ascii="华文楷体" w:hAnsi="华文楷体" w:eastAsia="华文楷体"/>
          <w:sz w:val="24"/>
        </w:rPr>
        <w:t>若企业承接巡检、应急、园区项目，前期设备制造和交付会占用流动资金，可用普惠金融科创贷、普惠金融信用贷或短贷支持；若下游为核心大客户，可用付融通、商票e贴、银票极速贴现盘活应收；项目投标和履约可关注境内保函。</w:t>
      </w:r>
    </w:p>
    <w:p>
      <w:r>
        <w:rPr>
          <w:rFonts w:ascii="华文楷体" w:hAnsi="华文楷体" w:eastAsia="华文楷体"/>
          <w:sz w:val="24"/>
        </w:rPr>
        <w:t>推荐产品组合：</w:t>
      </w:r>
    </w:p>
    <w:p>
      <w:r>
        <w:rPr>
          <w:rFonts w:ascii="华文楷体" w:hAnsi="华文楷体" w:eastAsia="华文楷体"/>
          <w:sz w:val="24"/>
        </w:rPr>
        <w:t>建议以普惠金融科创贷或短贷作为主推产品，解决项目交付前的备货与人工投入；配套商票e贴、付融通、境内保函和资产池，用于应收盘活、投标履约和票据资产管理。额度、期限、费率待沟通。</w:t>
      </w:r>
    </w:p>
    <w:p>
      <w:r>
        <w:rPr>
          <w:rFonts w:ascii="华文楷体" w:hAnsi="华文楷体" w:eastAsia="华文楷体"/>
          <w:sz w:val="24"/>
        </w:rPr>
        <w:t>客户经理切入话术：</w:t>
      </w:r>
    </w:p>
    <w:p>
      <w:r>
        <w:rPr>
          <w:rFonts w:ascii="华文楷体" w:hAnsi="华文楷体" w:eastAsia="华文楷体"/>
          <w:sz w:val="24"/>
        </w:rPr>
        <w:t>“贵司的巡检和应急机器人很适合做项目型金融服务。我们想了解今年项目订单、回款账期和是否涉及票据付款，看看能否用科创贷、保函和应收类产品减轻交付期资金压力。”</w:t>
      </w:r>
    </w:p>
    <w:p>
      <w:r>
        <w:rPr>
          <w:rFonts w:ascii="华文楷体" w:hAnsi="华文楷体" w:eastAsia="华文楷体"/>
          <w:sz w:val="24"/>
        </w:rPr>
        <w:t>风险提示：</w:t>
      </w:r>
    </w:p>
    <w:p>
      <w:r>
        <w:rPr>
          <w:rFonts w:ascii="华文楷体" w:hAnsi="华文楷体" w:eastAsia="华文楷体"/>
          <w:sz w:val="24"/>
        </w:rPr>
        <w:t>项目制收入存在验收和回款周期不确定性；下游客户集中度、产品售后和迭代成本需关注；暂无明显公开重大风险，仍需结合征信、流水、财报、合同和实地尽调确认。</w:t>
      </w:r>
    </w:p>
    <w:p>
      <w:r>
        <w:rPr>
          <w:rFonts w:ascii="华文楷体" w:hAnsi="华文楷体" w:eastAsia="华文楷体"/>
          <w:b/>
          <w:sz w:val="26"/>
        </w:rPr>
        <w:t>企业名称：强脑科技有限公司</w:t>
      </w:r>
    </w:p>
    <w:p>
      <w:r>
        <w:rPr>
          <w:rFonts w:ascii="华文楷体" w:hAnsi="华文楷体" w:eastAsia="华文楷体"/>
          <w:sz w:val="24"/>
        </w:rPr>
        <w:t>推荐等级：高</w:t>
      </w:r>
    </w:p>
    <w:p>
      <w:r>
        <w:rPr>
          <w:rFonts w:ascii="华文楷体" w:hAnsi="华文楷体" w:eastAsia="华文楷体"/>
          <w:sz w:val="24"/>
        </w:rPr>
        <w:t>所属行业：脑机接口/智能仿生/医疗康复与消费科技</w:t>
      </w:r>
    </w:p>
    <w:p>
      <w:r>
        <w:rPr>
          <w:rFonts w:ascii="华文楷体" w:hAnsi="华文楷体" w:eastAsia="华文楷体"/>
          <w:sz w:val="24"/>
        </w:rPr>
        <w:t>所在地区：杭州</w:t>
      </w:r>
    </w:p>
    <w:p>
      <w:r>
        <w:rPr>
          <w:rFonts w:ascii="华文楷体" w:hAnsi="华文楷体" w:eastAsia="华文楷体"/>
          <w:sz w:val="24"/>
        </w:rPr>
        <w:t>产业链位置：中游技术平台与终端产品</w:t>
      </w:r>
    </w:p>
    <w:p>
      <w:r>
        <w:rPr>
          <w:rFonts w:ascii="华文楷体" w:hAnsi="华文楷体" w:eastAsia="华文楷体"/>
          <w:sz w:val="24"/>
        </w:rPr>
        <w:t>推荐方向：流动资金、跨境结算、现金管理、代发、综合金融</w:t>
      </w:r>
    </w:p>
    <w:p>
      <w:r>
        <w:rPr>
          <w:rFonts w:ascii="华文楷体" w:hAnsi="华文楷体" w:eastAsia="华文楷体"/>
          <w:sz w:val="24"/>
        </w:rPr>
        <w:t>企业关键信息：</w:t>
      </w:r>
    </w:p>
    <w:p>
      <w:r>
        <w:rPr>
          <w:rFonts w:ascii="华文楷体" w:hAnsi="华文楷体" w:eastAsia="华文楷体"/>
          <w:sz w:val="24"/>
        </w:rPr>
        <w:t>基本情况：公司总部在杭州，聚焦非侵入式脑机接口、智能仿生手、康复与人机交互产品。杭州具身智能大会相关报道显示，其 Revo3 灵巧手等新品亮相，体现其在灵巧执行器和人机交互方向的产品化能力。</w:t>
      </w:r>
    </w:p>
    <w:p>
      <w:r>
        <w:rPr>
          <w:rFonts w:ascii="华文楷体" w:hAnsi="华文楷体" w:eastAsia="华文楷体"/>
          <w:sz w:val="24"/>
        </w:rPr>
        <w:t>高层与团队背景：公开资料显示，创始人韩璧丞具备海外高校与脑科学/神经工程相关背景，曾在哈佛相关实验室学习研究；具体导师、财务负责人信息未披露/待核实。</w:t>
      </w:r>
    </w:p>
    <w:p>
      <w:r>
        <w:rPr>
          <w:rFonts w:ascii="华文楷体" w:hAnsi="华文楷体" w:eastAsia="华文楷体"/>
          <w:sz w:val="24"/>
        </w:rPr>
        <w:t>银行关注点：海外科研和产品背景有利于技术壁垒与国际化渠道，但医疗康复类产品可能涉及认证周期、渠道建设和研发投入压力。</w:t>
      </w:r>
    </w:p>
    <w:p>
      <w:r>
        <w:rPr>
          <w:rFonts w:ascii="华文楷体" w:hAnsi="华文楷体" w:eastAsia="华文楷体"/>
          <w:sz w:val="24"/>
        </w:rPr>
        <w:t>推荐理由：</w:t>
      </w:r>
    </w:p>
    <w:p>
      <w:r>
        <w:rPr>
          <w:rFonts w:ascii="华文楷体" w:hAnsi="华文楷体" w:eastAsia="华文楷体"/>
          <w:sz w:val="24"/>
        </w:rPr>
        <w:t>- 脑机接口、智能仿生和灵巧手是具身智能上游关键能力，符合杭州具身智能生态方向。</w:t>
      </w:r>
    </w:p>
    <w:p>
      <w:r>
        <w:rPr>
          <w:rFonts w:ascii="华文楷体" w:hAnsi="华文楷体" w:eastAsia="华文楷体"/>
          <w:sz w:val="24"/>
        </w:rPr>
        <w:t>- 产品兼具医疗康复、科研教育和机器人末端执行器潜力，客户类型多元。</w:t>
      </w:r>
    </w:p>
    <w:p>
      <w:r>
        <w:rPr>
          <w:rFonts w:ascii="华文楷体" w:hAnsi="华文楷体" w:eastAsia="华文楷体"/>
          <w:sz w:val="24"/>
        </w:rPr>
        <w:t>- 国际化团队和产品属性可能带来跨境结算、知识产权、研发投入和渠道资金需求。</w:t>
      </w:r>
    </w:p>
    <w:p>
      <w:r>
        <w:rPr>
          <w:rFonts w:ascii="华文楷体" w:hAnsi="华文楷体" w:eastAsia="华文楷体"/>
          <w:sz w:val="24"/>
        </w:rPr>
        <w:t>银行展业机会：</w:t>
      </w:r>
    </w:p>
    <w:p>
      <w:r>
        <w:rPr>
          <w:rFonts w:ascii="华文楷体" w:hAnsi="华文楷体" w:eastAsia="华文楷体"/>
          <w:sz w:val="24"/>
        </w:rPr>
        <w:t>企业研发和产品认证周期较长，可从普惠金融科创贷、普惠金融信用贷支持日常研发周转；若存在海外采购或销售，可配套跨境支付结算、外币存款、平安避险；员工和研发团队可切入平安薪、口袋管家和企业主财富服务。</w:t>
      </w:r>
    </w:p>
    <w:p>
      <w:r>
        <w:rPr>
          <w:rFonts w:ascii="华文楷体" w:hAnsi="华文楷体" w:eastAsia="华文楷体"/>
          <w:sz w:val="24"/>
        </w:rPr>
        <w:t>推荐产品组合：</w:t>
      </w:r>
    </w:p>
    <w:p>
      <w:r>
        <w:rPr>
          <w:rFonts w:ascii="华文楷体" w:hAnsi="华文楷体" w:eastAsia="华文楷体"/>
          <w:sz w:val="24"/>
        </w:rPr>
        <w:t>建议以普惠金融科创贷作为主推产品，支持研发、认证和小批量生产周转；配套跨境支付结算、外币存款、平安避险和平安薪，用于海外业务、汇率管理和员工综合服务。额度、期限、费率待沟通。</w:t>
      </w:r>
    </w:p>
    <w:p>
      <w:r>
        <w:rPr>
          <w:rFonts w:ascii="华文楷体" w:hAnsi="华文楷体" w:eastAsia="华文楷体"/>
          <w:sz w:val="24"/>
        </w:rPr>
        <w:t>客户经理切入话术：</w:t>
      </w:r>
    </w:p>
    <w:p>
      <w:r>
        <w:rPr>
          <w:rFonts w:ascii="华文楷体" w:hAnsi="华文楷体" w:eastAsia="华文楷体"/>
          <w:sz w:val="24"/>
        </w:rPr>
        <w:t>“强脑科技处在脑机接口和具身智能交叉赛道，研发、认证和海外业务节奏都比较关键。我们想先了解今年产品交付和海外收付款安排，看是否能提供科创贷与跨境结算的一揽子方案。”</w:t>
      </w:r>
    </w:p>
    <w:p>
      <w:r>
        <w:rPr>
          <w:rFonts w:ascii="华文楷体" w:hAnsi="华文楷体" w:eastAsia="华文楷体"/>
          <w:sz w:val="24"/>
        </w:rPr>
        <w:t>风险提示：</w:t>
      </w:r>
    </w:p>
    <w:p>
      <w:r>
        <w:rPr>
          <w:rFonts w:ascii="华文楷体" w:hAnsi="华文楷体" w:eastAsia="华文楷体"/>
          <w:sz w:val="24"/>
        </w:rPr>
        <w:t>脑机接口与康复产品存在认证、渠道和商业化周期风险；研发投入高、盈利节奏需核实；仍需结合征信、流水、财报、知识产权、订单和实地尽调确认。</w:t>
      </w:r>
    </w:p>
    <w:p>
      <w:r>
        <w:rPr>
          <w:rFonts w:ascii="华文楷体" w:hAnsi="华文楷体" w:eastAsia="华文楷体"/>
          <w:b/>
          <w:sz w:val="26"/>
        </w:rPr>
        <w:t>企业名称：杭州海康机器人股份有限公司</w:t>
      </w:r>
    </w:p>
    <w:p>
      <w:r>
        <w:rPr>
          <w:rFonts w:ascii="华文楷体" w:hAnsi="华文楷体" w:eastAsia="华文楷体"/>
          <w:sz w:val="24"/>
        </w:rPr>
        <w:t>推荐等级：中高</w:t>
      </w:r>
    </w:p>
    <w:p>
      <w:r>
        <w:rPr>
          <w:rFonts w:ascii="华文楷体" w:hAnsi="华文楷体" w:eastAsia="华文楷体"/>
          <w:sz w:val="24"/>
        </w:rPr>
        <w:t>所属行业：工业视觉/移动机器人/智能制造</w:t>
      </w:r>
    </w:p>
    <w:p>
      <w:r>
        <w:rPr>
          <w:rFonts w:ascii="华文楷体" w:hAnsi="华文楷体" w:eastAsia="华文楷体"/>
          <w:sz w:val="24"/>
        </w:rPr>
        <w:t>所在地区：杭州</w:t>
      </w:r>
    </w:p>
    <w:p>
      <w:r>
        <w:rPr>
          <w:rFonts w:ascii="华文楷体" w:hAnsi="华文楷体" w:eastAsia="华文楷体"/>
          <w:sz w:val="24"/>
        </w:rPr>
        <w:t>产业链位置：中游设备与解决方案</w:t>
      </w:r>
    </w:p>
    <w:p>
      <w:r>
        <w:rPr>
          <w:rFonts w:ascii="华文楷体" w:hAnsi="华文楷体" w:eastAsia="华文楷体"/>
          <w:sz w:val="24"/>
        </w:rPr>
        <w:t>推荐方向：供应链金融、票据、现金管理、代发、综合金融</w:t>
      </w:r>
    </w:p>
    <w:p>
      <w:r>
        <w:rPr>
          <w:rFonts w:ascii="华文楷体" w:hAnsi="华文楷体" w:eastAsia="华文楷体"/>
          <w:sz w:val="24"/>
        </w:rPr>
        <w:t>企业关键信息：</w:t>
      </w:r>
    </w:p>
    <w:p>
      <w:r>
        <w:rPr>
          <w:rFonts w:ascii="华文楷体" w:hAnsi="华文楷体" w:eastAsia="华文楷体"/>
          <w:sz w:val="24"/>
        </w:rPr>
        <w:t>基本情况：公司聚焦机器视觉、移动机器人和智能制造解决方案，面向工业与物流客户，属于浙江智能制造和工业 AI 重要企业。</w:t>
      </w:r>
    </w:p>
    <w:p>
      <w:r>
        <w:rPr>
          <w:rFonts w:ascii="华文楷体" w:hAnsi="华文楷体" w:eastAsia="华文楷体"/>
          <w:sz w:val="24"/>
        </w:rPr>
        <w:t>高层与团队背景：公司源于海康威视产业体系，管理层和技术团队具备工业视觉、算法、硬件制造和大客户交付经验；具体个人教育背景、导师信息未披露/待核实。</w:t>
      </w:r>
    </w:p>
    <w:p>
      <w:r>
        <w:rPr>
          <w:rFonts w:ascii="华文楷体" w:hAnsi="华文楷体" w:eastAsia="华文楷体"/>
          <w:sz w:val="24"/>
        </w:rPr>
        <w:t>银行关注点：背靠成熟产业生态，核心客户和供应商资源较强；可通过供应链和票据服务拓展其上下游。</w:t>
      </w:r>
    </w:p>
    <w:p>
      <w:r>
        <w:rPr>
          <w:rFonts w:ascii="华文楷体" w:hAnsi="华文楷体" w:eastAsia="华文楷体"/>
          <w:sz w:val="24"/>
        </w:rPr>
        <w:t>推荐理由：</w:t>
      </w:r>
    </w:p>
    <w:p>
      <w:r>
        <w:rPr>
          <w:rFonts w:ascii="华文楷体" w:hAnsi="华文楷体" w:eastAsia="华文楷体"/>
          <w:sz w:val="24"/>
        </w:rPr>
        <w:t>- 工业视觉与移动机器人直接受益于“AI+制造”和浙江制造业智能化改造。</w:t>
      </w:r>
    </w:p>
    <w:p>
      <w:r>
        <w:rPr>
          <w:rFonts w:ascii="华文楷体" w:hAnsi="华文楷体" w:eastAsia="华文楷体"/>
          <w:sz w:val="24"/>
        </w:rPr>
        <w:t>- 企业具备较强品牌、渠道和交付能力，容易形成上下游供应链金融场景。</w:t>
      </w:r>
    </w:p>
    <w:p>
      <w:r>
        <w:rPr>
          <w:rFonts w:ascii="华文楷体" w:hAnsi="华文楷体" w:eastAsia="华文楷体"/>
          <w:sz w:val="24"/>
        </w:rPr>
        <w:t>- 客户覆盖制造和物流行业，票据、保理、资产池和现金管理需求更明确。</w:t>
      </w:r>
    </w:p>
    <w:p>
      <w:r>
        <w:rPr>
          <w:rFonts w:ascii="华文楷体" w:hAnsi="华文楷体" w:eastAsia="华文楷体"/>
          <w:sz w:val="24"/>
        </w:rPr>
        <w:t>银行展业机会：</w:t>
      </w:r>
    </w:p>
    <w:p>
      <w:r>
        <w:rPr>
          <w:rFonts w:ascii="华文楷体" w:hAnsi="华文楷体" w:eastAsia="华文楷体"/>
          <w:sz w:val="24"/>
        </w:rPr>
        <w:t>面向核心企业本身可切入数字财资、资产池、票据贴现开放银行和平安薪；面向供应商可用付融通、商票保贴、银票无感贴现盘活账期；面向经销商或集成商可探索订货贷和平台数字贷。</w:t>
      </w:r>
    </w:p>
    <w:p>
      <w:r>
        <w:rPr>
          <w:rFonts w:ascii="华文楷体" w:hAnsi="华文楷体" w:eastAsia="华文楷体"/>
          <w:sz w:val="24"/>
        </w:rPr>
        <w:t>推荐产品组合：</w:t>
      </w:r>
    </w:p>
    <w:p>
      <w:r>
        <w:rPr>
          <w:rFonts w:ascii="华文楷体" w:hAnsi="华文楷体" w:eastAsia="华文楷体"/>
          <w:sz w:val="24"/>
        </w:rPr>
        <w:t>建议以数字财资和资产池作为主推产品，服务其多账户、多票据、多主体资金管理；配套付融通、商票e贴、订货贷和平安薪，用于上下游批量开发与员工服务。额度、期限、费率待沟通。</w:t>
      </w:r>
    </w:p>
    <w:p>
      <w:r>
        <w:rPr>
          <w:rFonts w:ascii="华文楷体" w:hAnsi="华文楷体" w:eastAsia="华文楷体"/>
          <w:sz w:val="24"/>
        </w:rPr>
        <w:t>客户经理切入话术：</w:t>
      </w:r>
    </w:p>
    <w:p>
      <w:r>
        <w:rPr>
          <w:rFonts w:ascii="华文楷体" w:hAnsi="华文楷体" w:eastAsia="华文楷体"/>
          <w:sz w:val="24"/>
        </w:rPr>
        <w:t>“工业视觉和移动机器人今年会明显受益于制造业智能化改造。我们更想从贵司上下游账期、票据和经销商采购场景入手，看看能否设计一套核心企业带动供应链的金融方案。”</w:t>
      </w:r>
    </w:p>
    <w:p>
      <w:r>
        <w:rPr>
          <w:rFonts w:ascii="华文楷体" w:hAnsi="华文楷体" w:eastAsia="华文楷体"/>
          <w:sz w:val="24"/>
        </w:rPr>
        <w:t>风险提示：</w:t>
      </w:r>
    </w:p>
    <w:p>
      <w:r>
        <w:rPr>
          <w:rFonts w:ascii="华文楷体" w:hAnsi="华文楷体" w:eastAsia="华文楷体"/>
          <w:sz w:val="24"/>
        </w:rPr>
        <w:t>需关注制造业投资周期、客户集中度、应收账款和库存周转；暂无明显公开重大风险，仍需结合征信、流水、财报和核心客户结构确认。</w:t>
      </w:r>
    </w:p>
    <w:p>
      <w:r>
        <w:rPr>
          <w:rFonts w:ascii="华文楷体" w:hAnsi="华文楷体" w:eastAsia="华文楷体"/>
          <w:b/>
          <w:sz w:val="26"/>
        </w:rPr>
        <w:t>企业名称：中控技术股份有限公司</w:t>
      </w:r>
    </w:p>
    <w:p>
      <w:r>
        <w:rPr>
          <w:rFonts w:ascii="华文楷体" w:hAnsi="华文楷体" w:eastAsia="华文楷体"/>
          <w:sz w:val="24"/>
        </w:rPr>
        <w:t>推荐等级：中高</w:t>
      </w:r>
    </w:p>
    <w:p>
      <w:r>
        <w:rPr>
          <w:rFonts w:ascii="华文楷体" w:hAnsi="华文楷体" w:eastAsia="华文楷体"/>
          <w:sz w:val="24"/>
        </w:rPr>
        <w:t>所属行业：工业自动化/工业软件/工业AI</w:t>
      </w:r>
    </w:p>
    <w:p>
      <w:r>
        <w:rPr>
          <w:rFonts w:ascii="华文楷体" w:hAnsi="华文楷体" w:eastAsia="华文楷体"/>
          <w:sz w:val="24"/>
        </w:rPr>
        <w:t>所在地区：杭州</w:t>
      </w:r>
    </w:p>
    <w:p>
      <w:r>
        <w:rPr>
          <w:rFonts w:ascii="华文楷体" w:hAnsi="华文楷体" w:eastAsia="华文楷体"/>
          <w:sz w:val="24"/>
        </w:rPr>
        <w:t>产业链位置：平台型/中游系统解决方案</w:t>
      </w:r>
    </w:p>
    <w:p>
      <w:r>
        <w:rPr>
          <w:rFonts w:ascii="华文楷体" w:hAnsi="华文楷体" w:eastAsia="华文楷体"/>
          <w:sz w:val="24"/>
        </w:rPr>
        <w:t>推荐方向：现金管理、供应链金融、票据、综合金融、跨境结算</w:t>
      </w:r>
    </w:p>
    <w:p>
      <w:r>
        <w:rPr>
          <w:rFonts w:ascii="华文楷体" w:hAnsi="华文楷体" w:eastAsia="华文楷体"/>
          <w:sz w:val="24"/>
        </w:rPr>
        <w:t>企业关键信息：</w:t>
      </w:r>
    </w:p>
    <w:p>
      <w:r>
        <w:rPr>
          <w:rFonts w:ascii="华文楷体" w:hAnsi="华文楷体" w:eastAsia="华文楷体"/>
          <w:sz w:val="24"/>
        </w:rPr>
        <w:t>基本情况：公司位于杭州，主营工业自动化控制系统、工业软件、仪器仪表和智能制造解决方案，面向流程工业客户，是浙江工业数字化代表企业。</w:t>
      </w:r>
    </w:p>
    <w:p>
      <w:r>
        <w:rPr>
          <w:rFonts w:ascii="华文楷体" w:hAnsi="华文楷体" w:eastAsia="华文楷体"/>
          <w:sz w:val="24"/>
        </w:rPr>
        <w:t>高层与团队背景：公开资料显示，公司创始团队与浙江大学工业控制、自动化科研体系关系紧密，创始人褚健曾任浙江大学相关领域教授；现任高管具体教育背景和导师信息需以公司公告为准。</w:t>
      </w:r>
    </w:p>
    <w:p>
      <w:r>
        <w:rPr>
          <w:rFonts w:ascii="华文楷体" w:hAnsi="华文楷体" w:eastAsia="华文楷体"/>
          <w:sz w:val="24"/>
        </w:rPr>
        <w:t>银行关注点：客户多为大型工业企业，项目金额、账期和票据场景较多；上市公司规范度较高，适合围绕供应链和综合金融做深度经营。</w:t>
      </w:r>
    </w:p>
    <w:p>
      <w:r>
        <w:rPr>
          <w:rFonts w:ascii="华文楷体" w:hAnsi="华文楷体" w:eastAsia="华文楷体"/>
          <w:sz w:val="24"/>
        </w:rPr>
        <w:t>推荐理由：</w:t>
      </w:r>
    </w:p>
    <w:p>
      <w:r>
        <w:rPr>
          <w:rFonts w:ascii="华文楷体" w:hAnsi="华文楷体" w:eastAsia="华文楷体"/>
          <w:sz w:val="24"/>
        </w:rPr>
        <w:t>- 工业 AI 和智能制造是“人工智能+制造”的核心落点，中控技术具备场景和客户基础。</w:t>
      </w:r>
    </w:p>
    <w:p>
      <w:r>
        <w:rPr>
          <w:rFonts w:ascii="华文楷体" w:hAnsi="华文楷体" w:eastAsia="华文楷体"/>
          <w:sz w:val="24"/>
        </w:rPr>
        <w:t>- 其上下游涉及硬件、软件、集成、服务和工业客户，适合设计链式金融。</w:t>
      </w:r>
    </w:p>
    <w:p>
      <w:r>
        <w:rPr>
          <w:rFonts w:ascii="华文楷体" w:hAnsi="华文楷体" w:eastAsia="华文楷体"/>
          <w:sz w:val="24"/>
        </w:rPr>
        <w:t>- 工业企业数字化项目常见合同金额大、回款周期长、票据结算多，银行产品匹配度高。</w:t>
      </w:r>
    </w:p>
    <w:p>
      <w:r>
        <w:rPr>
          <w:rFonts w:ascii="华文楷体" w:hAnsi="华文楷体" w:eastAsia="华文楷体"/>
          <w:sz w:val="24"/>
        </w:rPr>
        <w:t>银行展业机会：</w:t>
      </w:r>
    </w:p>
    <w:p>
      <w:r>
        <w:rPr>
          <w:rFonts w:ascii="华文楷体" w:hAnsi="华文楷体" w:eastAsia="华文楷体"/>
          <w:sz w:val="24"/>
        </w:rPr>
        <w:t>企业本身可切入数字财资、资产池、债券承销或资本市场融资；供应商端可用付融通、商票保贴、银票极速贴现；海外项目或客户拓展可配套跨境支付结算、人民币国际证+福费廷和平安避险。</w:t>
      </w:r>
    </w:p>
    <w:p>
      <w:r>
        <w:rPr>
          <w:rFonts w:ascii="华文楷体" w:hAnsi="华文楷体" w:eastAsia="华文楷体"/>
          <w:sz w:val="24"/>
        </w:rPr>
        <w:t>推荐产品组合：</w:t>
      </w:r>
    </w:p>
    <w:p>
      <w:r>
        <w:rPr>
          <w:rFonts w:ascii="华文楷体" w:hAnsi="华文楷体" w:eastAsia="华文楷体"/>
          <w:sz w:val="24"/>
        </w:rPr>
        <w:t>建议以数字财资和付融通作为主推产品，解决集团资金管理和供应商账期融资；配套资产池、商票保贴、跨境支付结算和平安避险，用于票据资产管理、供应链稳定和海外业务风险管理。额度、期限、费率待沟通。</w:t>
      </w:r>
    </w:p>
    <w:p>
      <w:r>
        <w:rPr>
          <w:rFonts w:ascii="华文楷体" w:hAnsi="华文楷体" w:eastAsia="华文楷体"/>
          <w:sz w:val="24"/>
        </w:rPr>
        <w:t>客户经理切入话术：</w:t>
      </w:r>
    </w:p>
    <w:p>
      <w:r>
        <w:rPr>
          <w:rFonts w:ascii="华文楷体" w:hAnsi="华文楷体" w:eastAsia="华文楷体"/>
          <w:sz w:val="24"/>
        </w:rPr>
        <w:t>“中控技术处在工业AI和智能制造的核心环节。我们想围绕贵司项目回款、票据使用和供应商付款场景，评估能否通过数字财资和供应链金融提升资金周转效率。”</w:t>
      </w:r>
    </w:p>
    <w:p>
      <w:r>
        <w:rPr>
          <w:rFonts w:ascii="华文楷体" w:hAnsi="华文楷体" w:eastAsia="华文楷体"/>
          <w:sz w:val="24"/>
        </w:rPr>
        <w:t>风险提示：</w:t>
      </w:r>
    </w:p>
    <w:p>
      <w:r>
        <w:rPr>
          <w:rFonts w:ascii="华文楷体" w:hAnsi="华文楷体" w:eastAsia="华文楷体"/>
          <w:sz w:val="24"/>
        </w:rPr>
        <w:t>工业项目受下游资本开支周期影响；需关注应收账款、合同验收、海外项目和行业周期波动；仍需结合公告、财报、征信和合同结构确认。</w:t>
      </w:r>
    </w:p>
    <w:p>
      <w:r>
        <w:rPr>
          <w:rFonts w:ascii="华文楷体" w:hAnsi="华文楷体" w:eastAsia="华文楷体"/>
          <w:b/>
          <w:sz w:val="30"/>
        </w:rPr>
        <w:t>四、客户经理行动建议</w:t>
      </w:r>
    </w:p>
    <w:p>
      <w:r>
        <w:rPr>
          <w:rFonts w:ascii="华文楷体" w:hAnsi="华文楷体" w:eastAsia="华文楷体"/>
          <w:sz w:val="24"/>
        </w:rPr>
        <w:t>1. 当周优先拜访杭州宇树科技股份有限公司、杭州云深处科技有限公司、强脑科技有限公司，围绕“订单交付、供应商付款、海外收款、研发投入”四个问题切入。</w:t>
      </w:r>
    </w:p>
    <w:p>
      <w:r>
        <w:rPr>
          <w:rFonts w:ascii="华文楷体" w:hAnsi="华文楷体" w:eastAsia="华文楷体"/>
          <w:sz w:val="24"/>
        </w:rPr>
        <w:t>2. 对杭州海康机器人股份有限公司和中控技术股份有限公司，建议先从核心企业供应链场景入手，梳理供应商、经销商、票据和应收账款结构，争取批量获客。</w:t>
      </w:r>
    </w:p>
    <w:p>
      <w:r>
        <w:rPr>
          <w:rFonts w:ascii="华文楷体" w:hAnsi="华文楷体" w:eastAsia="华文楷体"/>
          <w:sz w:val="24"/>
        </w:rPr>
        <w:t>3. 准备两套方案：一套面向成长型机器人企业，主推普惠金融科创贷/订单融资/跨境结算；一套面向核心企业，主推数字财资/资产池/付融通/票据贴现开放银行。</w:t>
      </w:r>
    </w:p>
    <w:p>
      <w:r>
        <w:rPr>
          <w:rFonts w:ascii="华文楷体" w:hAnsi="华文楷体" w:eastAsia="华文楷体"/>
          <w:sz w:val="24"/>
        </w:rPr>
        <w:t>4. 拜访前重点核验企业近一年订单、出口收入、前五大客户、供应商账期、存货和应收账款变化，避免只看赛道热度。</w:t>
      </w:r>
    </w:p>
    <w:p>
      <w:r>
        <w:rPr>
          <w:rFonts w:ascii="华文楷体" w:hAnsi="华文楷体" w:eastAsia="华文楷体"/>
          <w:sz w:val="24"/>
        </w:rPr>
        <w:t>5. 内部联动科技金融、交易银行、跨境金融、票据、租赁和零售财富团队，形成“公司融资 + 供应链 + 跨境 + 代发 + 企业主服务”的组合拜访。</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华文楷体" w:hAnsi="华文楷体" w:eastAsia="华文楷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