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华文楷体" w:hAnsi="华文楷体"/>
          <w:sz w:val="34"/>
        </w:rPr>
        <w:t>AI行业商机周报</w:t>
      </w:r>
    </w:p>
    <w:p>
      <w:r>
        <w:rPr>
          <w:rFonts w:ascii="华文楷体" w:hAnsi="华文楷体"/>
          <w:sz w:val="24"/>
        </w:rPr>
        <w:t>覆盖周期： 2026.05.15-05.22</w:t>
      </w:r>
    </w:p>
    <w:p>
      <w:r>
        <w:rPr>
          <w:rFonts w:ascii="华文楷体" w:hAnsi="华文楷体"/>
          <w:sz w:val="24"/>
        </w:rPr>
        <w:t>资料来源： 新华网、财联社、同花顺、经济观察网、中新社、人民网浙江、杭州网、浙江金融发布会公开报道、iFinD新闻公告检索及企业公开资料。</w:t>
      </w:r>
    </w:p>
    <w:p>
      <w:pPr>
        <w:pStyle w:val="Heading2"/>
      </w:pPr>
      <w:r>
        <w:rPr>
          <w:rFonts w:ascii="华文楷体" w:hAnsi="华文楷体"/>
          <w:sz w:val="32"/>
        </w:rPr>
        <w:t>一、行业动态与发展总结</w:t>
      </w:r>
    </w:p>
    <w:p>
      <w:pPr>
        <w:pStyle w:val="Heading3"/>
      </w:pPr>
      <w:r>
        <w:rPr>
          <w:rFonts w:ascii="华文楷体" w:hAnsi="华文楷体"/>
          <w:sz w:val="30"/>
        </w:rPr>
        <w:t>1. 近期政策变动</w:t>
      </w:r>
    </w:p>
    <w:p>
      <w:r>
        <w:rPr>
          <w:rFonts w:ascii="华文楷体" w:hAnsi="华文楷体"/>
          <w:sz w:val="24"/>
        </w:rPr>
        <w:t>本周全国层面AI政策主线从“鼓励发展”进一步转向“标准化、场景化、基础设施化”。工信部、市场监管总局、商务部等部门联合发布的《人工智能终端智能化分级》系列国家标准，明确手机、电脑、电视等终端产品的智能化评价口径，意味着AI终端将从参数营销进入可测量、可认证、可比较阶段。对银行而言，标准化会推动AI终端、智能家电、工业终端等企业进入新一轮产品认证、研发改造和渠道铺货周期。</w:t>
      </w:r>
    </w:p>
    <w:p>
      <w:r>
        <w:rPr>
          <w:rFonts w:ascii="华文楷体" w:hAnsi="华文楷体"/>
          <w:sz w:val="24"/>
        </w:rPr>
        <w:t>国家层面持续强调“人工智能+”和未来产业布局。公开信息显示，“十五五”规划纲要将具身智能等列为前瞻布局方向，行业主管部门此前提出推动“人工智能+制造”，支持研发设计、生产制造、经营管理等环节深度集成人工智能技术，并推动智能机器人在焊接、喷涂、总装等环节规模化应用。近期资讯中，算力网、AI WAN、智能算力调用等方向持续升温，核心是降低企业远程调用算力、模型和数据资源的门槛。</w:t>
      </w:r>
    </w:p>
    <w:p>
      <w:r>
        <w:rPr>
          <w:rFonts w:ascii="华文楷体" w:hAnsi="华文楷体"/>
          <w:sz w:val="24"/>
        </w:rPr>
        <w:t>资本市场与上市公司公告也在强化政策落点。iFinD公告检索显示，天奇股份在5月16日披露向特定对象发行相关材料，募投方向包含汽车装备智能制造基地、面向汽车行业应用的机器人具身智能系统研发中心和补充流动资金；弘信电子5月15日披露的发行材料中强调AI算力服务器、云计算和人工智能需求快速增长。上述公告说明，“AI+制造”“AI+算力”已经开始转化为上市公司的募投、设备采购、研发中心建设和补流需求。</w:t>
      </w:r>
    </w:p>
    <w:p>
      <w:r>
        <w:rPr>
          <w:rFonts w:ascii="华文楷体" w:hAnsi="华文楷体"/>
          <w:sz w:val="24"/>
        </w:rPr>
        <w:t>综合影响闭环： 政策和标准推动AI从概念验证走向行业应用，企业侧会出现研发投入、设备采购、数据与算力租赁、产品认证、渠道备货等资金需求；银行侧可围绕科技金融、设备更新、供应链金融、票据贴现、国内信用证、数字财资和跨境结算形成组合服务，优先服务进入政策清单、示范基地、行业标准试点和产业链核心环节的企业。</w:t>
      </w:r>
    </w:p>
    <w:p>
      <w:pPr>
        <w:pStyle w:val="Heading3"/>
      </w:pPr>
      <w:r>
        <w:rPr>
          <w:rFonts w:ascii="华文楷体" w:hAnsi="华文楷体"/>
          <w:sz w:val="30"/>
        </w:rPr>
        <w:t>2. 政府规划与产业方向</w:t>
      </w:r>
    </w:p>
    <w:p>
      <w:r>
        <w:rPr>
          <w:rFonts w:ascii="华文楷体" w:hAnsi="华文楷体"/>
          <w:sz w:val="24"/>
        </w:rPr>
        <w:t>全国AI产业方向呈现三条主线：一是算力底座加速公共化，算力从自建机房向算力网络、云算力、推理服务和行业模型平台延伸；二是大模型从通用能力比拼进入智能体和行业应用阶段，制造、汽车、能源、政务、医疗、教育等场景成为重点落地领域；三是具身智能成为“AI从虚拟走向物理世界”的关键方向，机器人本体、灵巧手、核心零部件、运动控制、数据采集和场景训练平台将共同受益。</w:t>
      </w:r>
    </w:p>
    <w:p>
      <w:r>
        <w:rPr>
          <w:rFonts w:ascii="华文楷体" w:hAnsi="华文楷体"/>
          <w:sz w:val="24"/>
        </w:rPr>
        <w:t>对于企业经营，国家级规划带来的不是单点补贴，而是“标准+中试+场景+金融工具”的组合机会。客户经理应重点关注具备项目申报能力、研发团队稳定、订单场景清晰、上下游可识别的AI硬件、工业软件、算力服务和机器人企业。</w:t>
      </w:r>
    </w:p>
    <w:p>
      <w:pPr>
        <w:pStyle w:val="Heading3"/>
      </w:pPr>
      <w:r>
        <w:rPr>
          <w:rFonts w:ascii="华文楷体" w:hAnsi="华文楷体"/>
          <w:sz w:val="30"/>
        </w:rPr>
        <w:t>3. 行业发展趋势</w:t>
      </w:r>
    </w:p>
    <w:p>
      <w:r>
        <w:rPr>
          <w:rFonts w:ascii="华文楷体" w:hAnsi="华文楷体"/>
          <w:sz w:val="24"/>
        </w:rPr>
        <w:t>AI行业处于“高景气但分化加剧”阶段。算力侧需求仍然强劲，iFinD新闻检索显示，全球AI算力需求持续攀升，英伟达等算力链企业业绩高增，国内算力服务器、存储、光模块、数据中心和电源环节同步受益；但高估值和高资本开支也要求企业尽快形成可持续现金流。</w:t>
      </w:r>
    </w:p>
    <w:p>
      <w:r>
        <w:rPr>
          <w:rFonts w:ascii="华文楷体" w:hAnsi="华文楷体"/>
          <w:sz w:val="24"/>
        </w:rPr>
        <w:t>大模型侧从“拼参数”走向“拼落地”。本周公开资讯中，大模型排行、智能体、国产框架与国产GPU适配、文心与沐曦等国产算力协同优化活动成为热点。商业机会不再只是模型厂商本身，而是围绕模型部署、行业数据、私域知识库、Agent应用、运维安全和成本优化的一整套服务链。</w:t>
      </w:r>
    </w:p>
    <w:p>
      <w:r>
        <w:rPr>
          <w:rFonts w:ascii="华文楷体" w:hAnsi="华文楷体"/>
          <w:sz w:val="24"/>
        </w:rPr>
        <w:t>机器人与具身智能侧进入量产验证窗口。市场围绕特斯拉Optimus、Figure、国产机器人整机和灵巧手持续升温，A股机器人ETF和产业链公司受到资金关注。银行应优先选择“已有产品、已有场景、已有交付”的企业，而不是只停留在样机展示阶段的项目。</w:t>
      </w:r>
    </w:p>
    <w:p>
      <w:r>
        <w:rPr>
          <w:rFonts w:ascii="华文楷体" w:hAnsi="华文楷体"/>
          <w:sz w:val="24"/>
        </w:rPr>
        <w:t>风险方面，AI行业存在技术路线变化快、研发投入高、客户集中、回款周期长、估值波动和政策合规要求提升等问题。授信前应重点核查订单真实性、合同回款、存货构成、研发资本化、股权融资节奏和核心团队稳定性。</w:t>
      </w:r>
    </w:p>
    <w:p>
      <w:pPr>
        <w:pStyle w:val="Heading3"/>
      </w:pPr>
      <w:r>
        <w:rPr>
          <w:rFonts w:ascii="华文楷体" w:hAnsi="华文楷体"/>
          <w:sz w:val="30"/>
        </w:rPr>
        <w:t>4. 上下游产业链动态</w:t>
      </w:r>
    </w:p>
    <w:p>
      <w:r>
        <w:rPr>
          <w:rFonts w:ascii="华文楷体" w:hAnsi="华文楷体"/>
          <w:sz w:val="24"/>
        </w:rPr>
        <w:t>上游环节包括GPU/AI芯片、HBM/存储、光模块、服务器、电源、液冷、传感器、电机、减速器和灵巧手等零部件，资金需求集中在设备采购、库存备货和研发验证。中游包括算力服务商、大模型公司、机器人整机、工业软件、数据服务和系统集成企业，需求集中在研发费用、云算力租赁、项目垫资和应收账款周转。下游则是制造、物流、文旅、安防、教育、医疗、政务等应用行业，需求表现为数字化改造、AI终端采购、智能工厂建设和场景运营。</w:t>
      </w:r>
    </w:p>
    <w:p>
      <w:r>
        <w:rPr>
          <w:rFonts w:ascii="华文楷体" w:hAnsi="华文楷体"/>
          <w:sz w:val="24"/>
        </w:rPr>
        <w:t>最适合银行切入的环节，是有核心企业带动、交易关系清晰、应收应付可验证的供应链。机器人整机厂可带动电机、传感器、加工件、结构件、软件外包和经销服务商；算力平台可带动服务器采购、机房建设、电源液冷和运维服务；工业软件和AI应用平台可带动订阅式收入和项目交付回款。对应产品可采用订单融资、付融通、商票保贴、银票贴现、国内信用证、资产池和数字财资。</w:t>
      </w:r>
    </w:p>
    <w:p>
      <w:pPr>
        <w:pStyle w:val="Heading2"/>
      </w:pPr>
      <w:r>
        <w:rPr>
          <w:rFonts w:ascii="华文楷体" w:hAnsi="华文楷体"/>
          <w:sz w:val="32"/>
        </w:rPr>
        <w:t>二、浙江地区动态与区域机会</w:t>
      </w:r>
    </w:p>
    <w:p>
      <w:pPr>
        <w:pStyle w:val="Heading3"/>
      </w:pPr>
      <w:r>
        <w:rPr>
          <w:rFonts w:ascii="华文楷体" w:hAnsi="华文楷体"/>
          <w:sz w:val="30"/>
        </w:rPr>
        <w:t>1. 浙江政策与政府规划</w:t>
      </w:r>
    </w:p>
    <w:p>
      <w:r>
        <w:rPr>
          <w:rFonts w:ascii="华文楷体" w:hAnsi="华文楷体"/>
          <w:sz w:val="24"/>
        </w:rPr>
        <w:t>浙江本周AI政策信号密集。5月14日浙江省政府新闻办解读“民营经济新增13条”，明确每年安排财政专项资金支持“人工智能+”，开放大科学装置、超算中心、中试平台等创新资源，支持民营企业深度参与科技创新和产业创新；同时提出浙江力争到2027年人工智能核心产业营收突破1万亿元，培育具有国际竞争力的智能经济产业集群。</w:t>
      </w:r>
    </w:p>
    <w:p>
      <w:r>
        <w:rPr>
          <w:rFonts w:ascii="华文楷体" w:hAnsi="华文楷体"/>
          <w:sz w:val="24"/>
        </w:rPr>
        <w:t>金融支持方面，5月20日浙江做好金融“五篇大文章”发布会披露，浙江围绕人工智能、集成电路等关键领域推出“算力贷”“数据资产质押贷款”等产品；截至今年3月末，浙江人工智能相关产业贷款余额同比增长13.1%，高于各项贷款增速。该信号说明，AI企业融资正从传统抵押担保，逐步拓展到数据、算力、创新积分、科技标签等新型评价维度。</w:t>
      </w:r>
    </w:p>
    <w:p>
      <w:r>
        <w:rPr>
          <w:rFonts w:ascii="华文楷体" w:hAnsi="华文楷体"/>
          <w:sz w:val="24"/>
        </w:rPr>
        <w:t>5月21日浙江省三大科创高地发展报告显示，2025年浙江省规上人工智能核心产业营收达7131亿元，数字经济核心产业增加值占GDP比重达13%；浙江部署实施新型架构算力系统、人形机器人等重大科技专项，宇树科技、群核信息等“杭州六小龙”持续受到关注。</w:t>
      </w:r>
    </w:p>
    <w:p>
      <w:pPr>
        <w:pStyle w:val="Heading3"/>
      </w:pPr>
      <w:r>
        <w:rPr>
          <w:rFonts w:ascii="华文楷体" w:hAnsi="华文楷体"/>
          <w:sz w:val="30"/>
        </w:rPr>
        <w:t>2. 浙江重点产业与区域机会</w:t>
      </w:r>
    </w:p>
    <w:p>
      <w:r>
        <w:rPr>
          <w:rFonts w:ascii="华文楷体" w:hAnsi="华文楷体"/>
          <w:sz w:val="24"/>
        </w:rPr>
        <w:t>杭州是本周最明确的区域机会。5月16日，国家人工智能应用中试基地（具身智能）在杭州高新区（滨江）揭牌，这是全国唯一一个面向具身智能领域的国家级应用中试基地。基地将构建以算力保障、数据开放、模型服务、场景验证为核心的公共技术服务平台，聚焦具身智能+新消费、新物流、新制造、新工程、新安全、新农业等领域。</w:t>
      </w:r>
    </w:p>
    <w:p>
      <w:r>
        <w:rPr>
          <w:rFonts w:ascii="华文楷体" w:hAnsi="华文楷体"/>
          <w:sz w:val="24"/>
        </w:rPr>
        <w:t>滨江已形成具身智能机器人产业集群，公开报道显示当地聚集海康机器人、华睿科技、景业智能等重点企业超100家，覆盖核心算法、关键零部件、整机制造、场景应用；杭州具身智能机器人与其他智能终端制造业集群已集聚700余家企业，去年集群规上工业产值突破千亿元。</w:t>
      </w:r>
    </w:p>
    <w:p>
      <w:r>
        <w:rPr>
          <w:rFonts w:ascii="华文楷体" w:hAnsi="华文楷体"/>
          <w:sz w:val="24"/>
        </w:rPr>
        <w:t>宁波、绍兴、金华等地的机会主要来自制造业场景。宁波具备智能制造、智能终端、汽车零部件和工业机器人应用基础；绍兴、金华、台州等地有大量中小制造企业，适合通过“AI+设备更新”“AI+质检”“AI+仓储物流”形成批量改造和普惠金融场景。</w:t>
      </w:r>
    </w:p>
    <w:p>
      <w:pPr>
        <w:pStyle w:val="Heading3"/>
      </w:pPr>
      <w:r>
        <w:rPr>
          <w:rFonts w:ascii="华文楷体" w:hAnsi="华文楷体"/>
          <w:sz w:val="30"/>
        </w:rPr>
        <w:t>3. 浙江上下游产业链动态</w:t>
      </w:r>
    </w:p>
    <w:p>
      <w:r>
        <w:rPr>
          <w:rFonts w:ascii="华文楷体" w:hAnsi="华文楷体"/>
          <w:sz w:val="24"/>
        </w:rPr>
        <w:t>浙江AI产业链呈现“杭州算法与平台、滨江机器人、余杭/未来科技城脑机接口与AI应用、宁波/绍兴/台州制造场景、金华义乌商贸与智能物流”的分布特征。上游可关注机器人零部件、传感器、伺服、电机、结构件加工和算力基础设施；中游可关注宇树科技、云深处科技、强脑科技、群核科技、每日互动等具备技术标签和商业化进展的企业；下游可关注制造、文旅、物流、安防、家居设计、政务数据和跨境电商场景。</w:t>
      </w:r>
    </w:p>
    <w:p>
      <w:r>
        <w:rPr>
          <w:rFonts w:ascii="华文楷体" w:hAnsi="华文楷体"/>
          <w:sz w:val="24"/>
        </w:rPr>
        <w:t>资金占用增加的环节主要包括机器人新品试制与小批量量产、算力和数据采购、渠道备货、项目制交付和应收账款。核心企业如果形成稳定采购和验收数据，银行可围绕其上下游做批量授信、票据贴现、订单融资、付融通和资产池。</w:t>
      </w:r>
    </w:p>
    <w:p>
      <w:pPr>
        <w:pStyle w:val="Heading3"/>
      </w:pPr>
      <w:r>
        <w:rPr>
          <w:rFonts w:ascii="华文楷体" w:hAnsi="华文楷体"/>
          <w:sz w:val="30"/>
        </w:rPr>
        <w:t>4. 银行展业机会</w:t>
      </w:r>
    </w:p>
    <w:p>
      <w:r>
        <w:rPr>
          <w:rFonts w:ascii="华文楷体" w:hAnsi="华文楷体"/>
          <w:sz w:val="24"/>
        </w:rPr>
        <w:t>1. 围绕杭州国家具身智能中试基地，优先营销入驻企业、共建合伙人及其上下游供应商，切入科技金融、设备融资、订单融资和票据贴现。</w:t>
      </w:r>
    </w:p>
    <w:p>
      <w:r>
        <w:rPr>
          <w:rFonts w:ascii="华文楷体" w:hAnsi="华文楷体"/>
          <w:sz w:val="24"/>
        </w:rPr>
        <w:t>2. 围绕浙江“人工智能+”财政专项、超算中心和中试平台开放，筛选具备项目申报和研发投入的AI企业，配置普惠金融科创贷、科技创新和技术更新改造再贷款、数字财资和资产池。</w:t>
      </w:r>
    </w:p>
    <w:p>
      <w:r>
        <w:rPr>
          <w:rFonts w:ascii="华文楷体" w:hAnsi="华文楷体"/>
          <w:sz w:val="24"/>
        </w:rPr>
        <w:t>3. 围绕“算力贷、数据资产质押贷款”等区域金融创新，跟进算力服务、数据智能和行业模型企业，重点看合同回款、客户质量和数据合规，提供短贷、保理、付融通和现金管理。</w:t>
      </w:r>
    </w:p>
    <w:p>
      <w:r>
        <w:rPr>
          <w:rFonts w:ascii="华文楷体" w:hAnsi="华文楷体"/>
          <w:sz w:val="24"/>
        </w:rPr>
        <w:t>4. 围绕机器人、智能终端和工业软件的供应链，选择链主企业带动上下游批量获客，配套商票保贴、银票无感贴现、订单融资和国内信用证。</w:t>
      </w:r>
    </w:p>
    <w:p>
      <w:r>
        <w:rPr>
          <w:rFonts w:ascii="华文楷体" w:hAnsi="华文楷体"/>
          <w:sz w:val="24"/>
        </w:rPr>
        <w:t>5. 围绕有海外销售和国际合作的AI硬件企业，提供跨境支付结算、人民币国际证+福费廷、外币存款、跨境资金管理和平安避险。</w:t>
      </w:r>
    </w:p>
    <w:p>
      <w:pPr>
        <w:pStyle w:val="Heading2"/>
      </w:pPr>
      <w:r>
        <w:rPr>
          <w:rFonts w:ascii="华文楷体" w:hAnsi="华文楷体"/>
          <w:sz w:val="32"/>
        </w:rPr>
        <w:t>三、重点企业推荐</w:t>
      </w:r>
    </w:p>
    <w:p>
      <w:pPr>
        <w:pStyle w:val="Heading3"/>
      </w:pPr>
      <w:r>
        <w:rPr>
          <w:rFonts w:ascii="华文楷体" w:hAnsi="华文楷体"/>
          <w:sz w:val="30"/>
        </w:rPr>
        <w:t>企业名称：杭州宇树科技股份有限公司</w:t>
      </w:r>
    </w:p>
    <w:p>
      <w:r>
        <w:rPr>
          <w:rFonts w:ascii="华文楷体" w:hAnsi="华文楷体"/>
          <w:sz w:val="24"/>
        </w:rPr>
        <w:t>• 推荐等级： 高</w:t>
      </w:r>
    </w:p>
    <w:p>
      <w:r>
        <w:rPr>
          <w:rFonts w:ascii="华文楷体" w:hAnsi="华文楷体"/>
          <w:sz w:val="24"/>
        </w:rPr>
        <w:t>• 所属行业： 具身智能机器人</w:t>
      </w:r>
    </w:p>
    <w:p>
      <w:r>
        <w:rPr>
          <w:rFonts w:ascii="华文楷体" w:hAnsi="华文楷体"/>
          <w:sz w:val="24"/>
        </w:rPr>
        <w:t>• 所在地区： 杭州</w:t>
      </w:r>
    </w:p>
    <w:p>
      <w:r>
        <w:rPr>
          <w:rFonts w:ascii="华文楷体" w:hAnsi="华文楷体"/>
          <w:sz w:val="24"/>
        </w:rPr>
        <w:t>• 产业链位置： 中游/整机与生态平台</w:t>
      </w:r>
    </w:p>
    <w:p>
      <w:r>
        <w:rPr>
          <w:rFonts w:ascii="华文楷体" w:hAnsi="华文楷体"/>
          <w:sz w:val="24"/>
        </w:rPr>
        <w:t>• 推荐方向： 流动资金、供应链金融、票据、现金管理、跨境结算、综合金融</w:t>
      </w:r>
    </w:p>
    <w:p>
      <w:r>
        <w:rPr>
          <w:rFonts w:ascii="华文楷体" w:hAnsi="华文楷体"/>
          <w:sz w:val="24"/>
        </w:rPr>
        <w:t>企业关键信息：</w:t>
      </w:r>
    </w:p>
    <w:p>
      <w:r>
        <w:rPr>
          <w:rFonts w:ascii="华文楷体" w:hAnsi="华文楷体"/>
          <w:sz w:val="24"/>
        </w:rPr>
        <w:t>• 基本情况： 主营四足机器人、人形机器人、灵巧机械臂等产品，位于杭州，是国内具身智能头部企业之一；近期成为国家人工智能应用中试基地（具身智能）共建合伙人，并发布GD01载人变形机甲等新品。</w:t>
      </w:r>
    </w:p>
    <w:p>
      <w:r>
        <w:rPr>
          <w:rFonts w:ascii="华文楷体" w:hAnsi="华文楷体"/>
          <w:sz w:val="24"/>
        </w:rPr>
        <w:t>• 高层与团队背景： 创始人王兴兴公开资料显示为浙江余姚人，本科就读浙江理工大学机电专业，上海大学机械工程硕士，曾有机器人研发和大疆相关工作经历；现任公司创始人、CEO、CTO，并参与人形机器人标准化相关工作。导师等信息部分公开资料提及上海大学导师支持，细节待核实。</w:t>
      </w:r>
    </w:p>
    <w:p>
      <w:r>
        <w:rPr>
          <w:rFonts w:ascii="华文楷体" w:hAnsi="华文楷体"/>
          <w:sz w:val="24"/>
        </w:rPr>
        <w:t>• 银行关注点： 创始人兼具工程研发与产业化能力，公司品牌影响力强、产品矩阵丰富，对上游零部件、研发试制、渠道交付和海外销售均可能形成金融需求。</w:t>
      </w:r>
    </w:p>
    <w:p>
      <w:r>
        <w:rPr>
          <w:rFonts w:ascii="华文楷体" w:hAnsi="华文楷体"/>
          <w:sz w:val="24"/>
        </w:rPr>
        <w:t>推荐理由：</w:t>
      </w:r>
    </w:p>
    <w:p>
      <w:r>
        <w:rPr>
          <w:rFonts w:ascii="华文楷体" w:hAnsi="华文楷体"/>
          <w:sz w:val="24"/>
        </w:rPr>
        <w:t>• 杭州国家级具身智能中试基地揭牌，宇树科技为共建合伙人，具备政策、场景和生态入口优势。</w:t>
      </w:r>
    </w:p>
    <w:p>
      <w:r>
        <w:rPr>
          <w:rFonts w:ascii="华文楷体" w:hAnsi="华文楷体"/>
          <w:sz w:val="24"/>
        </w:rPr>
        <w:t>• 公司新品持续发布，具备整机品牌、供应链牵引和场景展示能力，适合作为链主切入上下游。</w:t>
      </w:r>
    </w:p>
    <w:p>
      <w:r>
        <w:rPr>
          <w:rFonts w:ascii="华文楷体" w:hAnsi="华文楷体"/>
          <w:sz w:val="24"/>
        </w:rPr>
        <w:t>• 杭州具身智能产业集群正在放大，宇树处于城市AI名片位置，客户经理拜访成功后可延展到零部件和服务商。</w:t>
      </w:r>
    </w:p>
    <w:p>
      <w:r>
        <w:rPr>
          <w:rFonts w:ascii="华文楷体" w:hAnsi="华文楷体"/>
          <w:sz w:val="24"/>
        </w:rPr>
        <w:t>银行展业机会：</w:t>
      </w:r>
    </w:p>
    <w:p>
      <w:r>
        <w:rPr>
          <w:rFonts w:ascii="华文楷体" w:hAnsi="华文楷体"/>
          <w:sz w:val="24"/>
        </w:rPr>
        <w:t>新品研发、小批量量产和渠道交付会带来备货、设备采购和应收账款周转需求；可从流动资金贷款、订单融资、商票保贴、银票贴现切入。若存在海外销售，可配置跨境支付结算、人民币国际证+福费廷、外币存款和平安避险。公司上下游供应商可通过付融通、票据贴现开放银行和资产池形成批量服务。</w:t>
      </w:r>
    </w:p>
    <w:p>
      <w:r>
        <w:rPr>
          <w:rFonts w:ascii="华文楷体" w:hAnsi="华文楷体"/>
          <w:sz w:val="24"/>
        </w:rPr>
        <w:t>推荐产品组合： 建议以普惠金融科创贷或科技创新和技术更新改造再贷款作为主推产品，解决研发试制和设备更新资金需求；配套订单融资、付融通、银票无感贴现和数字财资，用于供应商结算、应收周转和多账户资金管理。额度、期限、费率待沟通。</w:t>
      </w:r>
    </w:p>
    <w:p>
      <w:r>
        <w:rPr>
          <w:rFonts w:ascii="华文楷体" w:hAnsi="华文楷体"/>
          <w:sz w:val="24"/>
        </w:rPr>
        <w:t>客户经理切入话术： “这次杭州国家级具身智能中试基地落地，对宇树上下游都是扩产和场景验证窗口。我们想先了解贵司新品交付、供应商付款和海外结算安排，看能否用科技金融和供应链产品帮贵司降低资金占用。”</w:t>
      </w:r>
    </w:p>
    <w:p>
      <w:r>
        <w:rPr>
          <w:rFonts w:ascii="华文楷体" w:hAnsi="华文楷体"/>
          <w:sz w:val="24"/>
        </w:rPr>
        <w:t>风险提示： 机器人行业技术迭代快，量产成本、客户验收和海外竞争仍需关注；授信需核查订单、回款、供应商集中度、存货和股权融资节奏。</w:t>
      </w:r>
    </w:p>
    <w:p>
      <w:pPr>
        <w:pStyle w:val="Heading3"/>
      </w:pPr>
      <w:r>
        <w:rPr>
          <w:rFonts w:ascii="华文楷体" w:hAnsi="华文楷体"/>
          <w:sz w:val="30"/>
        </w:rPr>
        <w:t>企业名称：杭州云深处科技有限公司</w:t>
      </w:r>
    </w:p>
    <w:p>
      <w:r>
        <w:rPr>
          <w:rFonts w:ascii="华文楷体" w:hAnsi="华文楷体"/>
          <w:sz w:val="24"/>
        </w:rPr>
        <w:t>• 推荐等级： 高</w:t>
      </w:r>
    </w:p>
    <w:p>
      <w:r>
        <w:rPr>
          <w:rFonts w:ascii="华文楷体" w:hAnsi="华文楷体"/>
          <w:sz w:val="24"/>
        </w:rPr>
        <w:t>• 所属行业： 四足/人形机器人</w:t>
      </w:r>
    </w:p>
    <w:p>
      <w:r>
        <w:rPr>
          <w:rFonts w:ascii="华文楷体" w:hAnsi="华文楷体"/>
          <w:sz w:val="24"/>
        </w:rPr>
        <w:t>• 所在地区： 杭州</w:t>
      </w:r>
    </w:p>
    <w:p>
      <w:r>
        <w:rPr>
          <w:rFonts w:ascii="华文楷体" w:hAnsi="华文楷体"/>
          <w:sz w:val="24"/>
        </w:rPr>
        <w:t>• 产业链位置： 中游/整机与行业应用</w:t>
      </w:r>
    </w:p>
    <w:p>
      <w:r>
        <w:rPr>
          <w:rFonts w:ascii="华文楷体" w:hAnsi="华文楷体"/>
          <w:sz w:val="24"/>
        </w:rPr>
        <w:t>• 推荐方向： 流动资金、供应链金融、设备融资、票据、现金管理</w:t>
      </w:r>
    </w:p>
    <w:p>
      <w:r>
        <w:rPr>
          <w:rFonts w:ascii="华文楷体" w:hAnsi="华文楷体"/>
          <w:sz w:val="24"/>
        </w:rPr>
        <w:t>企业关键信息：</w:t>
      </w:r>
    </w:p>
    <w:p>
      <w:r>
        <w:rPr>
          <w:rFonts w:ascii="华文楷体" w:hAnsi="华文楷体"/>
          <w:sz w:val="24"/>
        </w:rPr>
        <w:t>• 基本情况： 公司专注四足机器人及行业应用，杭州本地浙大系机器人企业，产品面向巡检、安防、应急、工业等场景。</w:t>
      </w:r>
    </w:p>
    <w:p>
      <w:r>
        <w:rPr>
          <w:rFonts w:ascii="华文楷体" w:hAnsi="华文楷体"/>
          <w:sz w:val="24"/>
        </w:rPr>
        <w:t>• 高层与团队背景： 创始人朱秋国公开资料显示为浙江大学控制科学与工程专业博士、浙江大学副教授/博士生导师，并任公司创始人及CEO；具备控制、机器人和产学研转化背景。</w:t>
      </w:r>
    </w:p>
    <w:p>
      <w:r>
        <w:rPr>
          <w:rFonts w:ascii="华文楷体" w:hAnsi="华文楷体"/>
          <w:sz w:val="24"/>
        </w:rPr>
        <w:t>• 银行关注点： 高校科研背景有助于技术持续迭代，行业应用订单若稳定，可形成项目融资、应收账款和设备采购机会。</w:t>
      </w:r>
    </w:p>
    <w:p>
      <w:r>
        <w:rPr>
          <w:rFonts w:ascii="华文楷体" w:hAnsi="华文楷体"/>
          <w:sz w:val="24"/>
        </w:rPr>
        <w:t>推荐理由：</w:t>
      </w:r>
    </w:p>
    <w:p>
      <w:r>
        <w:rPr>
          <w:rFonts w:ascii="华文楷体" w:hAnsi="华文楷体"/>
          <w:sz w:val="24"/>
        </w:rPr>
        <w:t>• 杭州具身智能产业加速，云深处属于本地标杆机器人企业，受益于中试基地场景开放和行业训练平台。</w:t>
      </w:r>
    </w:p>
    <w:p>
      <w:r>
        <w:rPr>
          <w:rFonts w:ascii="华文楷体" w:hAnsi="华文楷体"/>
          <w:sz w:val="24"/>
        </w:rPr>
        <w:t>• 公司面向巡检、安防、工程等行业应用，场景较清晰，项目制交付可能带来回款周期和备货需求。</w:t>
      </w:r>
    </w:p>
    <w:p>
      <w:r>
        <w:rPr>
          <w:rFonts w:ascii="华文楷体" w:hAnsi="华文楷体"/>
          <w:sz w:val="24"/>
        </w:rPr>
        <w:t>• 浙大背景强化技术可信度，适合客户经理以科技金融和项目回款管理切入。</w:t>
      </w:r>
    </w:p>
    <w:p>
      <w:r>
        <w:rPr>
          <w:rFonts w:ascii="华文楷体" w:hAnsi="华文楷体"/>
          <w:sz w:val="24"/>
        </w:rPr>
        <w:t>银行展业机会： 行业机器人交付通常涉及核心零部件采购、项目实施垫资和验收回款，可提供短贷、普惠金融科创贷、订单融资、保理、银票贴现和资产池。若中试基地或政府场景形成示范项目，可围绕合同和回款账户锁定做融资闭环。</w:t>
      </w:r>
    </w:p>
    <w:p>
      <w:r>
        <w:rPr>
          <w:rFonts w:ascii="华文楷体" w:hAnsi="华文楷体"/>
          <w:sz w:val="24"/>
        </w:rPr>
        <w:t>推荐产品组合： 建议以普惠金融科创贷或短贷（平安透/网上自由贷）切入，解决项目交付期间流动资金需求；配套订单融资、商票e贴、慧收款和数字财资，用于订单回款、票据贴现和资金可视化管理。额度、期限、费率待沟通。</w:t>
      </w:r>
    </w:p>
    <w:p>
      <w:r>
        <w:rPr>
          <w:rFonts w:ascii="华文楷体" w:hAnsi="华文楷体"/>
          <w:sz w:val="24"/>
        </w:rPr>
        <w:t>客户经理切入话术： “杭州正在把具身智能场景做成公共平台，贵司的巡检和行业机器人很适合形成示范。我们可以围绕具体合同、回款账户和供应商付款，设计一套不增加太多管理负担的项目融资方案。”</w:t>
      </w:r>
    </w:p>
    <w:p>
      <w:r>
        <w:rPr>
          <w:rFonts w:ascii="华文楷体" w:hAnsi="华文楷体"/>
          <w:sz w:val="24"/>
        </w:rPr>
        <w:t>风险提示： 项目制业务回款周期、客户集中度、研发投入和产品可靠性需重点核查；暂无明显公开重大风险，仍需结合征信、流水、合同和实地尽调确认。</w:t>
      </w:r>
    </w:p>
    <w:p>
      <w:pPr>
        <w:pStyle w:val="Heading3"/>
      </w:pPr>
      <w:r>
        <w:rPr>
          <w:rFonts w:ascii="华文楷体" w:hAnsi="华文楷体"/>
          <w:sz w:val="30"/>
        </w:rPr>
        <w:t>企业名称：浙江强脑科技有限公司</w:t>
      </w:r>
    </w:p>
    <w:p>
      <w:r>
        <w:rPr>
          <w:rFonts w:ascii="华文楷体" w:hAnsi="华文楷体"/>
          <w:sz w:val="24"/>
        </w:rPr>
        <w:t>• 推荐等级： 中高</w:t>
      </w:r>
    </w:p>
    <w:p>
      <w:r>
        <w:rPr>
          <w:rFonts w:ascii="华文楷体" w:hAnsi="华文楷体"/>
          <w:sz w:val="24"/>
        </w:rPr>
        <w:t>• 所属行业： 脑机接口/智能仿生/灵巧手</w:t>
      </w:r>
    </w:p>
    <w:p>
      <w:r>
        <w:rPr>
          <w:rFonts w:ascii="华文楷体" w:hAnsi="华文楷体"/>
          <w:sz w:val="24"/>
        </w:rPr>
        <w:t>• 所在地区： 杭州</w:t>
      </w:r>
    </w:p>
    <w:p>
      <w:r>
        <w:rPr>
          <w:rFonts w:ascii="华文楷体" w:hAnsi="华文楷体"/>
          <w:sz w:val="24"/>
        </w:rPr>
        <w:t>• 产业链位置： 中游/核心部件与医疗康复应用</w:t>
      </w:r>
    </w:p>
    <w:p>
      <w:r>
        <w:rPr>
          <w:rFonts w:ascii="华文楷体" w:hAnsi="华文楷体"/>
          <w:sz w:val="24"/>
        </w:rPr>
        <w:t>• 推荐方向： 流动资金、设备融资、综合金融、跨境结算、现金管理</w:t>
      </w:r>
    </w:p>
    <w:p>
      <w:r>
        <w:rPr>
          <w:rFonts w:ascii="华文楷体" w:hAnsi="华文楷体"/>
          <w:sz w:val="24"/>
        </w:rPr>
        <w:t>企业关键信息：</w:t>
      </w:r>
    </w:p>
    <w:p>
      <w:r>
        <w:rPr>
          <w:rFonts w:ascii="华文楷体" w:hAnsi="华文楷体"/>
          <w:sz w:val="24"/>
        </w:rPr>
        <w:t>• 基本情况： 公司聚焦非侵入式脑机接口、智能仿生手和灵巧手产品，公开报道显示Revo系列灵巧手在杭州具身智能活动中亮相，具备从脑机接口延展到机器人核心部件的潜力。</w:t>
      </w:r>
    </w:p>
    <w:p>
      <w:r>
        <w:rPr>
          <w:rFonts w:ascii="华文楷体" w:hAnsi="华文楷体"/>
          <w:sz w:val="24"/>
        </w:rPr>
        <w:t>• 高层与团队背景： 创始人韩璧丞公开资料显示曾进入哈佛大学脑科学中心攻读博士项目，团队早期在哈佛创新实验室创业，成员多具博士和科研背景；具体导师信息未披露。</w:t>
      </w:r>
    </w:p>
    <w:p>
      <w:r>
        <w:rPr>
          <w:rFonts w:ascii="华文楷体" w:hAnsi="华文楷体"/>
          <w:sz w:val="24"/>
        </w:rPr>
        <w:t>• 银行关注点： 技术壁垒较高，产品横跨康复医疗、消费电子、机器人末端执行器等场景；需关注医疗器械合规、量产良率和市场化节奏。</w:t>
      </w:r>
    </w:p>
    <w:p>
      <w:r>
        <w:rPr>
          <w:rFonts w:ascii="华文楷体" w:hAnsi="华文楷体"/>
          <w:sz w:val="24"/>
        </w:rPr>
        <w:t>推荐理由：</w:t>
      </w:r>
    </w:p>
    <w:p>
      <w:r>
        <w:rPr>
          <w:rFonts w:ascii="华文楷体" w:hAnsi="华文楷体"/>
          <w:sz w:val="24"/>
        </w:rPr>
        <w:t>• 具身智能发展推动灵巧手、传感器和末端执行器需求上升，强脑科技处于关键零部件和人机交互交叉赛道。</w:t>
      </w:r>
    </w:p>
    <w:p>
      <w:r>
        <w:rPr>
          <w:rFonts w:ascii="华文楷体" w:hAnsi="华文楷体"/>
          <w:sz w:val="24"/>
        </w:rPr>
        <w:t>• 杭州中试基地和具身智能赛事将提升灵巧手场景验证机会，可能带来研发、试制和小批量订单。</w:t>
      </w:r>
    </w:p>
    <w:p>
      <w:r>
        <w:rPr>
          <w:rFonts w:ascii="华文楷体" w:hAnsi="华文楷体"/>
          <w:sz w:val="24"/>
        </w:rPr>
        <w:t>• 团队具备脑科学和工程转化背景，适合作为科技金融重点储备客户。</w:t>
      </w:r>
    </w:p>
    <w:p>
      <w:r>
        <w:rPr>
          <w:rFonts w:ascii="华文楷体" w:hAnsi="华文楷体"/>
          <w:sz w:val="24"/>
        </w:rPr>
        <w:t>银行展业机会： 研发试制、医疗/康复渠道拓展和机器人部件小批量交付会带来资金周转需求；可提供普惠金融科创贷、科技创新和技术更新改造再贷款、平安租赁、短贷和数字财资。若涉及海外市场，可提供跨境支付结算、外币存款和平安避险。</w:t>
      </w:r>
    </w:p>
    <w:p>
      <w:r>
        <w:rPr>
          <w:rFonts w:ascii="华文楷体" w:hAnsi="华文楷体"/>
          <w:sz w:val="24"/>
        </w:rPr>
        <w:t>推荐产品组合： 建议以普惠金融科创贷作为主推产品，覆盖研发与生产周转；配套平安租赁、短贷和跨境支付结算，用于设备采购、临时资金需求及海外合作收付款。额度、期限、费率待沟通。</w:t>
      </w:r>
    </w:p>
    <w:p>
      <w:r>
        <w:rPr>
          <w:rFonts w:ascii="华文楷体" w:hAnsi="华文楷体"/>
          <w:sz w:val="24"/>
        </w:rPr>
        <w:t>客户经理切入话术： “灵巧手是具身智能落地的关键部件，我们关注到贵司新品和脑机接口技术积累。想了解近期试制、量产和渠道订单安排，看是否能用科创贷加设备融资降低研发和交付压力。”</w:t>
      </w:r>
    </w:p>
    <w:p>
      <w:r>
        <w:rPr>
          <w:rFonts w:ascii="华文楷体" w:hAnsi="华文楷体"/>
          <w:sz w:val="24"/>
        </w:rPr>
        <w:t>风险提示： 技术商业化路径仍需验证，医疗/康复场景存在资质和合规要求，机器人部件市场竞争加剧；需核查订单真实性、专利权属、研发投入和现金流。</w:t>
      </w:r>
    </w:p>
    <w:p>
      <w:pPr>
        <w:pStyle w:val="Heading3"/>
      </w:pPr>
      <w:r>
        <w:rPr>
          <w:rFonts w:ascii="华文楷体" w:hAnsi="华文楷体"/>
          <w:sz w:val="30"/>
        </w:rPr>
        <w:t>企业名称：杭州群核信息技术有限公司（群核科技/酷家乐）</w:t>
      </w:r>
    </w:p>
    <w:p>
      <w:r>
        <w:rPr>
          <w:rFonts w:ascii="华文楷体" w:hAnsi="华文楷体"/>
          <w:sz w:val="24"/>
        </w:rPr>
        <w:t>• 推荐等级： 中高</w:t>
      </w:r>
    </w:p>
    <w:p>
      <w:r>
        <w:rPr>
          <w:rFonts w:ascii="华文楷体" w:hAnsi="华文楷体"/>
          <w:sz w:val="24"/>
        </w:rPr>
        <w:t>• 所属行业： 工业软件/云端设计/AI设计平台</w:t>
      </w:r>
    </w:p>
    <w:p>
      <w:r>
        <w:rPr>
          <w:rFonts w:ascii="华文楷体" w:hAnsi="华文楷体"/>
          <w:sz w:val="24"/>
        </w:rPr>
        <w:t>• 所在地区： 杭州</w:t>
      </w:r>
    </w:p>
    <w:p>
      <w:r>
        <w:rPr>
          <w:rFonts w:ascii="华文楷体" w:hAnsi="华文楷体"/>
          <w:sz w:val="24"/>
        </w:rPr>
        <w:t>• 产业链位置： 平台型/软件服务商</w:t>
      </w:r>
    </w:p>
    <w:p>
      <w:r>
        <w:rPr>
          <w:rFonts w:ascii="华文楷体" w:hAnsi="华文楷体"/>
          <w:sz w:val="24"/>
        </w:rPr>
        <w:t>• 推荐方向： 现金管理、流动资金、供应链金融、资本市场、跨境结算</w:t>
      </w:r>
    </w:p>
    <w:p>
      <w:r>
        <w:rPr>
          <w:rFonts w:ascii="华文楷体" w:hAnsi="华文楷体"/>
          <w:sz w:val="24"/>
        </w:rPr>
        <w:t>企业关键信息：</w:t>
      </w:r>
    </w:p>
    <w:p>
      <w:r>
        <w:rPr>
          <w:rFonts w:ascii="华文楷体" w:hAnsi="华文楷体"/>
          <w:sz w:val="24"/>
        </w:rPr>
        <w:t>• 基本情况： 公司以酷家乐等云端设计平台闻名，服务家居、房产、建筑和工业设计场景，是杭州“六小龙”之一，具备AI设计和云端CAD能力。</w:t>
      </w:r>
    </w:p>
    <w:p>
      <w:r>
        <w:rPr>
          <w:rFonts w:ascii="华文楷体" w:hAnsi="华文楷体"/>
          <w:sz w:val="24"/>
        </w:rPr>
        <w:t>• 高层与团队背景： 创始人黄晓煌公开资料显示本科毕业于浙江大学计算机科学，硕士毕业于美国伊利诺伊大学厄巴纳-香槟分校计算机科学，曾任英伟达软件工程师；陈航等联合创始人亦有浙江大学背景。导师信息未披露。</w:t>
      </w:r>
    </w:p>
    <w:p>
      <w:r>
        <w:rPr>
          <w:rFonts w:ascii="华文楷体" w:hAnsi="华文楷体"/>
          <w:sz w:val="24"/>
        </w:rPr>
        <w:t>• 银行关注点： 管理层具备计算机、云计算和图形渲染背景，公司平台型收入具备账户管理、SaaS回款、生态商户和资本市场服务机会。</w:t>
      </w:r>
    </w:p>
    <w:p>
      <w:r>
        <w:rPr>
          <w:rFonts w:ascii="华文楷体" w:hAnsi="华文楷体"/>
          <w:sz w:val="24"/>
        </w:rPr>
        <w:t>推荐理由：</w:t>
      </w:r>
    </w:p>
    <w:p>
      <w:r>
        <w:rPr>
          <w:rFonts w:ascii="华文楷体" w:hAnsi="华文楷体"/>
          <w:sz w:val="24"/>
        </w:rPr>
        <w:t>• 浙江三大科创高地报告点名群核信息等“杭州六小龙”，区域关注度高。</w:t>
      </w:r>
    </w:p>
    <w:p>
      <w:r>
        <w:rPr>
          <w:rFonts w:ascii="华文楷体" w:hAnsi="华文楷体"/>
          <w:sz w:val="24"/>
        </w:rPr>
        <w:t>• AI设计、云端CAD和工业软件符合国产软件、AI+制造、数字经济方向，可延伸到家居制造和设计生态。</w:t>
      </w:r>
    </w:p>
    <w:p>
      <w:r>
        <w:rPr>
          <w:rFonts w:ascii="华文楷体" w:hAnsi="华文楷体"/>
          <w:sz w:val="24"/>
        </w:rPr>
        <w:t>• 平台型客户适合切入数字财资、慧收款、产业结算通和生态供应链金融。</w:t>
      </w:r>
    </w:p>
    <w:p>
      <w:r>
        <w:rPr>
          <w:rFonts w:ascii="华文楷体" w:hAnsi="华文楷体"/>
          <w:sz w:val="24"/>
        </w:rPr>
        <w:t>银行展业机会： SaaS订阅、项目制交付和生态平台交易需要高效收款、账户归集和对账；生态商户、家居制造企业、设计服务商可成为批量获客入口。若公司有上市、融资或并购安排，可联动资本市场融资、债券承销、并购融资和综合金融服务。</w:t>
      </w:r>
    </w:p>
    <w:p>
      <w:r>
        <w:rPr>
          <w:rFonts w:ascii="华文楷体" w:hAnsi="华文楷体"/>
          <w:sz w:val="24"/>
        </w:rPr>
        <w:t>推荐产品组合： 建议以数字财资和慧收款作为主推产品，解决平台多账户、订阅回款和对账管理；配套产业结算通、普惠金融场景化方案和资本市场融资服务，用于生态商户结算、上下游授信和后续资本运作。额度、期限、费率待沟通。</w:t>
      </w:r>
    </w:p>
    <w:p>
      <w:r>
        <w:rPr>
          <w:rFonts w:ascii="华文楷体" w:hAnsi="华文楷体"/>
          <w:sz w:val="24"/>
        </w:rPr>
        <w:t>客户经理切入话术： “群核已经从云设计平台延展到AI设计和工业软件生态，我们希望先从平台回款、商户结算和上下游客户服务入手，帮贵司把账户、收款和生态金融做成一体化方案。”</w:t>
      </w:r>
    </w:p>
    <w:p>
      <w:r>
        <w:rPr>
          <w:rFonts w:ascii="华文楷体" w:hAnsi="华文楷体"/>
          <w:sz w:val="24"/>
        </w:rPr>
        <w:t>风险提示： 软件平台增长需关注房地产和家居行业景气度、客户续费率、海外业务合规和研发投入；需结合财务报表、合同结构和现金流确认。</w:t>
      </w:r>
    </w:p>
    <w:p>
      <w:pPr>
        <w:pStyle w:val="Heading3"/>
      </w:pPr>
      <w:r>
        <w:rPr>
          <w:rFonts w:ascii="华文楷体" w:hAnsi="华文楷体"/>
          <w:sz w:val="30"/>
        </w:rPr>
        <w:t>企业名称：每日互动股份有限公司</w:t>
      </w:r>
    </w:p>
    <w:p>
      <w:r>
        <w:rPr>
          <w:rFonts w:ascii="华文楷体" w:hAnsi="华文楷体"/>
          <w:sz w:val="24"/>
        </w:rPr>
        <w:t>• 推荐等级： 中</w:t>
      </w:r>
    </w:p>
    <w:p>
      <w:r>
        <w:rPr>
          <w:rFonts w:ascii="华文楷体" w:hAnsi="华文楷体"/>
          <w:sz w:val="24"/>
        </w:rPr>
        <w:t>• 所属行业： 数据智能/公共与产业数据服务</w:t>
      </w:r>
    </w:p>
    <w:p>
      <w:r>
        <w:rPr>
          <w:rFonts w:ascii="华文楷体" w:hAnsi="华文楷体"/>
          <w:sz w:val="24"/>
        </w:rPr>
        <w:t>• 所在地区： 杭州</w:t>
      </w:r>
    </w:p>
    <w:p>
      <w:r>
        <w:rPr>
          <w:rFonts w:ascii="华文楷体" w:hAnsi="华文楷体"/>
          <w:sz w:val="24"/>
        </w:rPr>
        <w:t>• 产业链位置： 平台型/数据服务商</w:t>
      </w:r>
    </w:p>
    <w:p>
      <w:r>
        <w:rPr>
          <w:rFonts w:ascii="华文楷体" w:hAnsi="华文楷体"/>
          <w:sz w:val="24"/>
        </w:rPr>
        <w:t>• 推荐方向： 现金管理、流动资金、数据资产金融、政企项目回款、综合金融</w:t>
      </w:r>
    </w:p>
    <w:p>
      <w:r>
        <w:rPr>
          <w:rFonts w:ascii="华文楷体" w:hAnsi="华文楷体"/>
          <w:sz w:val="24"/>
        </w:rPr>
        <w:t>企业关键信息：</w:t>
      </w:r>
    </w:p>
    <w:p>
      <w:r>
        <w:rPr>
          <w:rFonts w:ascii="华文楷体" w:hAnsi="华文楷体"/>
          <w:sz w:val="24"/>
        </w:rPr>
        <w:t>• 基本情况： 每日互动为杭州上市数据智能企业，聚焦数据要素价值化、公共与产业数据价值开发平台等方向，属于AI应用和数据基础设施相关企业。</w:t>
      </w:r>
    </w:p>
    <w:p>
      <w:r>
        <w:rPr>
          <w:rFonts w:ascii="华文楷体" w:hAnsi="华文楷体"/>
          <w:sz w:val="24"/>
        </w:rPr>
        <w:t>• 高层与团队背景： 创始人方毅公开资料显示为浙江温州人，毕业于浙江大学竺可桢学院，后保送浙江大学计算机专业研究生，在校期间开始创业。</w:t>
      </w:r>
    </w:p>
    <w:p>
      <w:r>
        <w:rPr>
          <w:rFonts w:ascii="华文楷体" w:hAnsi="华文楷体"/>
          <w:sz w:val="24"/>
        </w:rPr>
        <w:t>• 银行关注点： 公司处于数据要素与AI应用交叉位置，具备政企项目、数据合规、模型应用和平台化服务机会；上市公司身份便于持续跟踪公开信息。</w:t>
      </w:r>
    </w:p>
    <w:p>
      <w:r>
        <w:rPr>
          <w:rFonts w:ascii="华文楷体" w:hAnsi="华文楷体"/>
          <w:sz w:val="24"/>
        </w:rPr>
        <w:t>推荐理由：</w:t>
      </w:r>
    </w:p>
    <w:p>
      <w:r>
        <w:rPr>
          <w:rFonts w:ascii="华文楷体" w:hAnsi="华文楷体"/>
          <w:sz w:val="24"/>
        </w:rPr>
        <w:t>• 浙江正推动“浙里政策惠企精准直达大模型平台”和数据资产质押贷款等创新，每日互动的数据智能能力与区域政策方向匹配。</w:t>
      </w:r>
    </w:p>
    <w:p>
      <w:r>
        <w:rPr>
          <w:rFonts w:ascii="华文楷体" w:hAnsi="华文楷体"/>
          <w:sz w:val="24"/>
        </w:rPr>
        <w:t>• 数据要素价值化和AI政企应用会带来项目交付、平台运营和应收账款管理需求。</w:t>
      </w:r>
    </w:p>
    <w:p>
      <w:r>
        <w:rPr>
          <w:rFonts w:ascii="华文楷体" w:hAnsi="华文楷体"/>
          <w:sz w:val="24"/>
        </w:rPr>
        <w:t>• 可作为银行探索数据资产、政企平台收款和数字金融场景的重要客户。</w:t>
      </w:r>
    </w:p>
    <w:p>
      <w:r>
        <w:rPr>
          <w:rFonts w:ascii="华文楷体" w:hAnsi="华文楷体"/>
          <w:sz w:val="24"/>
        </w:rPr>
        <w:t>银行展业机会： 政企项目回款、平台运营、数据合规服务和研发投入会带来流动资金、应收账款和账户管理需求。可使用数字财资、慧收款、短贷、保理、资产池和资本市场综合服务，未来可跟进数据资产相关金融创新。</w:t>
      </w:r>
    </w:p>
    <w:p>
      <w:r>
        <w:rPr>
          <w:rFonts w:ascii="华文楷体" w:hAnsi="华文楷体"/>
          <w:sz w:val="24"/>
        </w:rPr>
        <w:t>推荐产品组合： 建议以数字财资和资产池作为主推产品，提升上市公司多账户资金管理和资产利用效率；配套短贷、保理、慧收款和资本市场融资服务，用于项目回款周转、应收管理和后续资本运作。额度、期限、费率待沟通。</w:t>
      </w:r>
    </w:p>
    <w:p>
      <w:r>
        <w:rPr>
          <w:rFonts w:ascii="华文楷体" w:hAnsi="华文楷体"/>
          <w:sz w:val="24"/>
        </w:rPr>
        <w:t>客户经理切入话术： “浙江正在把数据要素和AI金融服务做成重点方向，贵司在数据智能和公共数据平台上有经验。我们想围绕项目回款、资金归集和数据资产金融创新，先做一次需求梳理。”</w:t>
      </w:r>
    </w:p>
    <w:p>
      <w:r>
        <w:rPr>
          <w:rFonts w:ascii="华文楷体" w:hAnsi="华文楷体"/>
          <w:sz w:val="24"/>
        </w:rPr>
        <w:t>风险提示： 数据合规、隐私保护、政企项目验收周期和应收账款回收是主要风险；授信前需核查项目合同、回款进度、客户集中度和监管合规情况。</w:t>
      </w:r>
    </w:p>
    <w:p>
      <w:pPr>
        <w:pStyle w:val="Heading2"/>
      </w:pPr>
      <w:r>
        <w:rPr>
          <w:rFonts w:ascii="华文楷体" w:hAnsi="华文楷体"/>
          <w:sz w:val="32"/>
        </w:rPr>
        <w:t>四、客户经理行动建议</w:t>
      </w:r>
    </w:p>
    <w:p>
      <w:r>
        <w:rPr>
          <w:rFonts w:ascii="华文楷体" w:hAnsi="华文楷体"/>
          <w:sz w:val="24"/>
        </w:rPr>
        <w:t>1. 优先拜访宇树科技、云深处科技、强脑科技。 以杭州国家具身智能中试基地为切入点，重点询问新品量产、场景验证、供应商付款、订单回款和海外结算需求，准备科创贷、订单融资、票据贴现、付融通和跨境结算方案。</w:t>
      </w:r>
    </w:p>
    <w:p>
      <w:r>
        <w:rPr>
          <w:rFonts w:ascii="华文楷体" w:hAnsi="华文楷体"/>
          <w:sz w:val="24"/>
        </w:rPr>
        <w:t>2. 同步跟进群核科技和每日互动。 以浙江三大科创高地、AI设计平台、数据要素金融为切入点，重点沟通平台回款、生态商户结算、项目应收和资金归集，准备数字财资、慧收款、资产池、保理和资本市场服务方案。</w:t>
      </w:r>
    </w:p>
    <w:p>
      <w:r>
        <w:rPr>
          <w:rFonts w:ascii="华文楷体" w:hAnsi="华文楷体"/>
          <w:sz w:val="24"/>
        </w:rPr>
        <w:t>3. 围绕滨江具身智能产业集群做批量扫客。 重点筛选机器人零部件、传感器、伺服电机、结构件加工、算法外包和场景运营企业，先从核心企业供应商名录、票据流和订单流切入。</w:t>
      </w:r>
    </w:p>
    <w:p>
      <w:r>
        <w:rPr>
          <w:rFonts w:ascii="华文楷体" w:hAnsi="华文楷体"/>
          <w:sz w:val="24"/>
        </w:rPr>
        <w:t>4. 建立“政策清单+企业清单+产品清单”三张表。 把享受浙江人工智能+财政专项、中试基地资源、算力券/语料券、创新积分的企业纳入科技金融白名单，匹配普惠金融科创贷、科技创新和技术更新改造再贷款、短贷和供应链金融。</w:t>
      </w:r>
    </w:p>
    <w:p>
      <w:r>
        <w:rPr>
          <w:rFonts w:ascii="华文楷体" w:hAnsi="华文楷体"/>
          <w:sz w:val="24"/>
        </w:rPr>
        <w:t>5. 风控前置。 对AI企业统一核查订单真实性、研发资本化、客户集中度、应收账款、存货、知识产权、股权融资节奏和数据合规，避免只凭概念授信。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sz w:val="24"/>
    </w:rPr>
  </w:style>
  <w:style w:type="character" w:customStyle="1" w:styleId="HeaderChar">
    <w:name w:val="Header Char"/>
    <w:basedOn w:val="DefaultParagraphFont"/>
    <w:link w:val="Header"/>
    <w:uiPriority w:val="99"/>
    <w:rsid w:val="00E618BF"/>
    <w:rPr>
      <w:rFonts w:ascii="华文楷体" w:hAnsi="华文楷体"/>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sz w:val="24"/>
    </w:rPr>
  </w:style>
  <w:style w:type="character" w:customStyle="1" w:styleId="FooterChar">
    <w:name w:val="Footer Char"/>
    <w:basedOn w:val="DefaultParagraphFont"/>
    <w:link w:val="Footer"/>
    <w:uiPriority w:val="99"/>
    <w:rsid w:val="00E618BF"/>
    <w:rPr>
      <w:rFonts w:ascii="华文楷体" w:hAnsi="华文楷体"/>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i/>
      <w:iCs/>
      <w:color w:val="404040" w:themeColor="text1" w:themeTint="BF"/>
      <w:sz w:val="24"/>
      <w:szCs w:val="20"/>
    </w:rPr>
  </w:style>
  <w:style w:type="character" w:default="1" w:styleId="DefaultParagraphFont">
    <w:name w:val="Default Paragraph Font"/>
    <w:uiPriority w:val="1"/>
    <w:semiHidden/>
    <w:unhideWhenUsed/>
    <w:rPr>
      <w:rFonts w:ascii="华文楷体" w:hAnsi="华文楷体"/>
      <w:sz w:val="24"/>
    </w:rPr>
  </w:style>
  <w:style w:type="table" w:default="1" w:styleId="TableNormal">
    <w:name w:val="Normal Table"/>
    <w:uiPriority w:val="99"/>
    <w:semiHidden/>
    <w:unhideWhenUsed/>
    <w:rPr>
      <w:rFonts w:ascii="华文楷体" w:hAnsi="华文楷体"/>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华文楷体" w:hAnsi="华文楷体"/>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华文楷体" w:hAnsi="华文楷体"/>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华文楷体" w:hAnsi="华文楷体"/>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华文楷体" w:hAnsi="华文楷体"/>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华文楷体" w:hAnsi="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sz w:val="24"/>
    </w:rPr>
  </w:style>
  <w:style w:type="paragraph" w:styleId="BodyText">
    <w:name w:val="Body Text"/>
    <w:basedOn w:val="Normal"/>
    <w:link w:val="BodyTextChar"/>
    <w:uiPriority w:val="99"/>
    <w:unhideWhenUsed/>
    <w:rsid w:val="00AA1D8D"/>
    <w:pPr>
      <w:spacing w:after="120"/>
    </w:pPr>
    <w:rPr>
      <w:rFonts w:ascii="华文楷体" w:hAnsi="华文楷体"/>
      <w:sz w:val="24"/>
    </w:rPr>
  </w:style>
  <w:style w:type="character" w:customStyle="1" w:styleId="BodyTextChar">
    <w:name w:val="Body Text Char"/>
    <w:basedOn w:val="DefaultParagraphFont"/>
    <w:link w:val="BodyText"/>
    <w:uiPriority w:val="99"/>
    <w:rsid w:val="00AA1D8D"/>
    <w:rPr>
      <w:rFonts w:ascii="华文楷体" w:hAnsi="华文楷体"/>
      <w:sz w:val="24"/>
    </w:rPr>
  </w:style>
  <w:style w:type="paragraph" w:styleId="BodyText2">
    <w:name w:val="Body Text 2"/>
    <w:basedOn w:val="Normal"/>
    <w:link w:val="BodyText2Char"/>
    <w:uiPriority w:val="99"/>
    <w:unhideWhenUsed/>
    <w:rsid w:val="00AA1D8D"/>
    <w:pPr>
      <w:spacing w:after="120" w:line="480" w:lineRule="auto"/>
    </w:pPr>
    <w:rPr>
      <w:rFonts w:ascii="华文楷体" w:hAnsi="华文楷体"/>
      <w:sz w:val="24"/>
    </w:rPr>
  </w:style>
  <w:style w:type="character" w:customStyle="1" w:styleId="BodyText2Char">
    <w:name w:val="Body Text 2 Char"/>
    <w:basedOn w:val="DefaultParagraphFont"/>
    <w:link w:val="BodyText2"/>
    <w:uiPriority w:val="99"/>
    <w:rsid w:val="00AA1D8D"/>
    <w:rPr>
      <w:rFonts w:ascii="华文楷体" w:hAnsi="华文楷体"/>
      <w:sz w:val="24"/>
    </w:rPr>
  </w:style>
  <w:style w:type="paragraph" w:styleId="BodyText3">
    <w:name w:val="Body Text 3"/>
    <w:basedOn w:val="Normal"/>
    <w:link w:val="BodyText3Char"/>
    <w:uiPriority w:val="99"/>
    <w:unhideWhenUsed/>
    <w:rsid w:val="00AA1D8D"/>
    <w:pPr>
      <w:spacing w:after="120"/>
    </w:pPr>
    <w:rPr>
      <w:rFonts w:ascii="华文楷体" w:hAnsi="华文楷体"/>
      <w:sz w:val="24"/>
      <w:szCs w:val="16"/>
    </w:rPr>
  </w:style>
  <w:style w:type="character" w:customStyle="1" w:styleId="BodyText3Char">
    <w:name w:val="Body Text 3 Char"/>
    <w:basedOn w:val="DefaultParagraphFont"/>
    <w:link w:val="BodyText3"/>
    <w:uiPriority w:val="99"/>
    <w:rsid w:val="00AA1D8D"/>
    <w:rPr>
      <w:rFonts w:ascii="华文楷体" w:hAnsi="华文楷体"/>
      <w:sz w:val="24"/>
      <w:szCs w:val="16"/>
    </w:rPr>
  </w:style>
  <w:style w:type="paragraph" w:styleId="List">
    <w:name w:val="List"/>
    <w:basedOn w:val="Normal"/>
    <w:uiPriority w:val="99"/>
    <w:unhideWhenUsed/>
    <w:rsid w:val="00AA1D8D"/>
    <w:pPr>
      <w:ind w:left="360" w:hanging="360"/>
      <w:contextualSpacing/>
    </w:pPr>
    <w:rPr>
      <w:rFonts w:ascii="华文楷体" w:hAnsi="华文楷体"/>
      <w:sz w:val="24"/>
    </w:rPr>
  </w:style>
  <w:style w:type="paragraph" w:styleId="List2">
    <w:name w:val="List 2"/>
    <w:basedOn w:val="Normal"/>
    <w:uiPriority w:val="99"/>
    <w:unhideWhenUsed/>
    <w:rsid w:val="00326F90"/>
    <w:pPr>
      <w:ind w:left="720" w:hanging="360"/>
      <w:contextualSpacing/>
    </w:pPr>
    <w:rPr>
      <w:rFonts w:ascii="华文楷体" w:hAnsi="华文楷体"/>
      <w:sz w:val="24"/>
    </w:rPr>
  </w:style>
  <w:style w:type="paragraph" w:styleId="List3">
    <w:name w:val="List 3"/>
    <w:basedOn w:val="Normal"/>
    <w:uiPriority w:val="99"/>
    <w:unhideWhenUsed/>
    <w:rsid w:val="00326F90"/>
    <w:pPr>
      <w:ind w:left="1080" w:hanging="360"/>
      <w:contextualSpacing/>
    </w:pPr>
    <w:rPr>
      <w:rFonts w:ascii="华文楷体" w:hAnsi="华文楷体"/>
      <w:sz w:val="24"/>
    </w:rPr>
  </w:style>
  <w:style w:type="paragraph" w:styleId="ListBullet">
    <w:name w:val="List Bullet"/>
    <w:basedOn w:val="Normal"/>
    <w:uiPriority w:val="99"/>
    <w:unhideWhenUsed/>
    <w:rsid w:val="00326F90"/>
    <w:pPr>
      <w:numPr>
        <w:numId w:val="1"/>
      </w:numPr>
      <w:contextualSpacing/>
    </w:pPr>
    <w:rPr>
      <w:rFonts w:ascii="华文楷体" w:hAnsi="华文楷体"/>
      <w:sz w:val="24"/>
    </w:rPr>
  </w:style>
  <w:style w:type="paragraph" w:styleId="ListBullet2">
    <w:name w:val="List Bullet 2"/>
    <w:basedOn w:val="Normal"/>
    <w:uiPriority w:val="99"/>
    <w:unhideWhenUsed/>
    <w:rsid w:val="00326F90"/>
    <w:pPr>
      <w:numPr>
        <w:numId w:val="2"/>
      </w:numPr>
      <w:contextualSpacing/>
    </w:pPr>
    <w:rPr>
      <w:rFonts w:ascii="华文楷体" w:hAnsi="华文楷体"/>
      <w:sz w:val="24"/>
    </w:rPr>
  </w:style>
  <w:style w:type="paragraph" w:styleId="ListBullet3">
    <w:name w:val="List Bullet 3"/>
    <w:basedOn w:val="Normal"/>
    <w:uiPriority w:val="99"/>
    <w:unhideWhenUsed/>
    <w:rsid w:val="00326F90"/>
    <w:pPr>
      <w:numPr>
        <w:numId w:val="3"/>
      </w:numPr>
      <w:contextualSpacing/>
    </w:pPr>
    <w:rPr>
      <w:rFonts w:ascii="华文楷体" w:hAnsi="华文楷体"/>
      <w:sz w:val="24"/>
    </w:rPr>
  </w:style>
  <w:style w:type="paragraph" w:styleId="ListNumber">
    <w:name w:val="List Number"/>
    <w:basedOn w:val="Normal"/>
    <w:uiPriority w:val="99"/>
    <w:unhideWhenUsed/>
    <w:rsid w:val="00326F90"/>
    <w:pPr>
      <w:numPr>
        <w:numId w:val="5"/>
      </w:numPr>
      <w:contextualSpacing/>
    </w:pPr>
    <w:rPr>
      <w:rFonts w:ascii="华文楷体" w:hAnsi="华文楷体"/>
      <w:sz w:val="24"/>
    </w:rPr>
  </w:style>
  <w:style w:type="paragraph" w:styleId="ListNumber2">
    <w:name w:val="List Number 2"/>
    <w:basedOn w:val="Normal"/>
    <w:uiPriority w:val="99"/>
    <w:unhideWhenUsed/>
    <w:rsid w:val="0029639D"/>
    <w:pPr>
      <w:numPr>
        <w:numId w:val="6"/>
      </w:numPr>
      <w:contextualSpacing/>
    </w:pPr>
    <w:rPr>
      <w:rFonts w:ascii="华文楷体" w:hAnsi="华文楷体"/>
      <w:sz w:val="24"/>
    </w:rPr>
  </w:style>
  <w:style w:type="paragraph" w:styleId="ListNumber3">
    <w:name w:val="List Number 3"/>
    <w:basedOn w:val="Normal"/>
    <w:uiPriority w:val="99"/>
    <w:unhideWhenUsed/>
    <w:rsid w:val="0029639D"/>
    <w:pPr>
      <w:numPr>
        <w:numId w:val="7"/>
      </w:numPr>
      <w:contextualSpacing/>
    </w:pPr>
    <w:rPr>
      <w:rFonts w:ascii="华文楷体" w:hAnsi="华文楷体"/>
      <w:sz w:val="24"/>
    </w:rPr>
  </w:style>
  <w:style w:type="paragraph" w:styleId="ListContinue">
    <w:name w:val="List Continue"/>
    <w:basedOn w:val="Normal"/>
    <w:uiPriority w:val="99"/>
    <w:unhideWhenUsed/>
    <w:rsid w:val="0029639D"/>
    <w:pPr>
      <w:spacing w:after="120"/>
      <w:ind w:left="360"/>
      <w:contextualSpacing/>
    </w:pPr>
    <w:rPr>
      <w:rFonts w:ascii="华文楷体" w:hAnsi="华文楷体"/>
      <w:sz w:val="24"/>
    </w:rPr>
  </w:style>
  <w:style w:type="paragraph" w:styleId="ListContinue2">
    <w:name w:val="List Continue 2"/>
    <w:basedOn w:val="Normal"/>
    <w:uiPriority w:val="99"/>
    <w:unhideWhenUsed/>
    <w:rsid w:val="0029639D"/>
    <w:pPr>
      <w:spacing w:after="120"/>
      <w:ind w:left="720"/>
      <w:contextualSpacing/>
    </w:pPr>
    <w:rPr>
      <w:rFonts w:ascii="华文楷体" w:hAnsi="华文楷体"/>
      <w:sz w:val="24"/>
    </w:rPr>
  </w:style>
  <w:style w:type="paragraph" w:styleId="ListContinue3">
    <w:name w:val="List Continue 3"/>
    <w:basedOn w:val="Normal"/>
    <w:uiPriority w:val="99"/>
    <w:unhideWhenUsed/>
    <w:rsid w:val="0029639D"/>
    <w:pPr>
      <w:spacing w:after="120"/>
      <w:ind w:left="1080"/>
      <w:contextualSpacing/>
    </w:pPr>
    <w:rPr>
      <w:rFonts w:ascii="华文楷体" w:hAnsi="华文楷体"/>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sz w:val="24"/>
      <w:szCs w:val="20"/>
    </w:rPr>
  </w:style>
  <w:style w:type="character" w:customStyle="1" w:styleId="MacroTextChar">
    <w:name w:val="Macro Text Char"/>
    <w:basedOn w:val="DefaultParagraphFont"/>
    <w:link w:val="MacroText"/>
    <w:uiPriority w:val="99"/>
    <w:rsid w:val="0029639D"/>
    <w:rPr>
      <w:rFonts w:ascii="华文楷体" w:hAnsi="华文楷体"/>
      <w:sz w:val="24"/>
      <w:szCs w:val="20"/>
    </w:rPr>
  </w:style>
  <w:style w:type="paragraph" w:styleId="Quote">
    <w:name w:val="Quote"/>
    <w:basedOn w:val="Normal"/>
    <w:next w:val="Normal"/>
    <w:link w:val="QuoteChar"/>
    <w:uiPriority w:val="29"/>
    <w:qFormat/>
    <w:rsid w:val="00FC693F"/>
    <w:rPr>
      <w:rFonts w:ascii="华文楷体" w:hAnsi="华文楷体"/>
      <w:i/>
      <w:iCs/>
      <w:color w:val="000000" w:themeColor="text1"/>
      <w:sz w:val="24"/>
    </w:rPr>
  </w:style>
  <w:style w:type="character" w:customStyle="1" w:styleId="QuoteChar">
    <w:name w:val="Quote Char"/>
    <w:basedOn w:val="DefaultParagraphFont"/>
    <w:link w:val="Quote"/>
    <w:uiPriority w:val="29"/>
    <w:rsid w:val="00FC693F"/>
    <w:rPr>
      <w:rFonts w:ascii="华文楷体" w:hAnsi="华文楷体"/>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华文楷体" w:hAnsi="华文楷体"/>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华文楷体" w:hAnsi="华文楷体"/>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华文楷体" w:hAnsi="华文楷体"/>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华文楷体" w:hAnsi="华文楷体"/>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华文楷体" w:hAnsi="华文楷体"/>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华文楷体" w:hAnsi="华文楷体"/>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b/>
      <w:bCs/>
      <w:color w:val="4F81BD" w:themeColor="accent1"/>
      <w:sz w:val="24"/>
      <w:szCs w:val="18"/>
    </w:rPr>
  </w:style>
  <w:style w:type="character" w:styleId="Strong">
    <w:name w:val="Strong"/>
    <w:basedOn w:val="DefaultParagraphFont"/>
    <w:uiPriority w:val="22"/>
    <w:qFormat/>
    <w:rsid w:val="00FC693F"/>
    <w:rPr>
      <w:rFonts w:ascii="华文楷体" w:hAnsi="华文楷体"/>
      <w:b/>
      <w:bCs/>
      <w:sz w:val="24"/>
    </w:rPr>
  </w:style>
  <w:style w:type="character" w:styleId="Emphasis">
    <w:name w:val="Emphasis"/>
    <w:basedOn w:val="DefaultParagraphFont"/>
    <w:uiPriority w:val="20"/>
    <w:qFormat/>
    <w:rsid w:val="00FC693F"/>
    <w:rPr>
      <w:rFonts w:ascii="华文楷体" w:hAnsi="华文楷体"/>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华文楷体" w:hAnsi="华文楷体"/>
      <w:b/>
      <w:bCs/>
      <w:i/>
      <w:iCs/>
      <w:color w:val="4F81BD" w:themeColor="accent1"/>
      <w:sz w:val="24"/>
    </w:rPr>
  </w:style>
  <w:style w:type="character" w:styleId="SubtleEmphasis">
    <w:name w:val="Subtle Emphasis"/>
    <w:basedOn w:val="DefaultParagraphFont"/>
    <w:uiPriority w:val="19"/>
    <w:qFormat/>
    <w:rsid w:val="00FC693F"/>
    <w:rPr>
      <w:rFonts w:ascii="华文楷体" w:hAnsi="华文楷体"/>
      <w:i/>
      <w:iCs/>
      <w:color w:val="808080" w:themeColor="text1" w:themeTint="7F"/>
      <w:sz w:val="24"/>
    </w:rPr>
  </w:style>
  <w:style w:type="character" w:styleId="IntenseEmphasis">
    <w:name w:val="Intense Emphasis"/>
    <w:basedOn w:val="DefaultParagraphFont"/>
    <w:uiPriority w:val="21"/>
    <w:qFormat/>
    <w:rsid w:val="00FC693F"/>
    <w:rPr>
      <w:rFonts w:ascii="华文楷体" w:hAnsi="华文楷体"/>
      <w:b/>
      <w:bCs/>
      <w:i/>
      <w:iCs/>
      <w:color w:val="4F81BD" w:themeColor="accent1"/>
      <w:sz w:val="24"/>
    </w:rPr>
  </w:style>
  <w:style w:type="character" w:styleId="SubtleReference">
    <w:name w:val="Subtle Reference"/>
    <w:basedOn w:val="DefaultParagraphFont"/>
    <w:uiPriority w:val="31"/>
    <w:qFormat/>
    <w:rsid w:val="00FC693F"/>
    <w:rPr>
      <w:rFonts w:ascii="华文楷体" w:hAnsi="华文楷体"/>
      <w:smallCaps/>
      <w:color w:val="C0504D" w:themeColor="accent2"/>
      <w:sz w:val="24"/>
      <w:u w:val="single"/>
    </w:rPr>
  </w:style>
  <w:style w:type="character" w:styleId="IntenseReference">
    <w:name w:val="Intense Reference"/>
    <w:basedOn w:val="DefaultParagraphFont"/>
    <w:uiPriority w:val="32"/>
    <w:qFormat/>
    <w:rsid w:val="00FC693F"/>
    <w:rPr>
      <w:rFonts w:ascii="华文楷体" w:hAnsi="华文楷体"/>
      <w:b/>
      <w:bCs/>
      <w:smallCaps/>
      <w:color w:val="C0504D" w:themeColor="accent2"/>
      <w:spacing w:val="5"/>
      <w:sz w:val="24"/>
      <w:u w:val="single"/>
    </w:rPr>
  </w:style>
  <w:style w:type="character" w:styleId="BookTitle">
    <w:name w:val="Book Title"/>
    <w:basedOn w:val="DefaultParagraphFont"/>
    <w:uiPriority w:val="33"/>
    <w:qFormat/>
    <w:rsid w:val="00FC693F"/>
    <w:rPr>
      <w:rFonts w:ascii="华文楷体" w:hAnsi="华文楷体"/>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华文楷体" w:hAnsi="华文楷体"/>
      <w:sz w:val="24"/>
    </w:rPr>
  </w:style>
  <w:style w:type="table" w:styleId="TableGrid">
    <w:name w:val="Table Grid"/>
    <w:basedOn w:val="TableNormal"/>
    <w:uiPriority w:val="59"/>
    <w:rsid w:val="00FC693F"/>
    <w:pPr>
      <w:spacing w:after="0" w:line="240" w:lineRule="auto"/>
    </w:pPr>
    <w:rPr>
      <w:rFonts w:ascii="华文楷体" w:hAnsi="华文楷体"/>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华文楷体" w:hAnsi="华文楷体"/>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华文楷体" w:hAnsi="华文楷体"/>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华文楷体" w:hAnsi="华文楷体"/>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华文楷体" w:hAnsi="华文楷体"/>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华文楷体" w:hAnsi="华文楷体"/>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华文楷体" w:hAnsi="华文楷体"/>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华文楷体" w:hAnsi="华文楷体"/>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华文楷体" w:hAnsi="华文楷体"/>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华文楷体" w:hAnsi="华文楷体"/>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