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华文楷体" w:hAnsi="华文楷体" w:eastAsia="华文楷体"/>
          <w:b/>
          <w:sz w:val="40"/>
        </w:rPr>
        <w:t>智能制造行业商机周报</w:t>
      </w:r>
    </w:p>
    <w:p>
      <w:pPr>
        <w:spacing w:line="288" w:lineRule="auto"/>
        <w:ind w:firstLine="480"/>
      </w:pPr>
      <w:r>
        <w:rPr>
          <w:rFonts w:ascii="华文楷体" w:hAnsi="华文楷体" w:eastAsia="华文楷体"/>
          <w:sz w:val="22"/>
        </w:rPr>
        <w:t>覆盖周期： 2026.05.14-05.21</w:t>
      </w:r>
    </w:p>
    <w:p>
      <w:pPr>
        <w:spacing w:line="288" w:lineRule="auto"/>
        <w:ind w:firstLine="480"/>
      </w:pPr>
      <w:r>
        <w:rPr>
          <w:rFonts w:ascii="华文楷体" w:hAnsi="华文楷体" w:eastAsia="华文楷体"/>
          <w:sz w:val="22"/>
        </w:rPr>
        <w:t>资料来源： 财联社电报、新华网科技、36氪快讯、证券时报快讯页面、工控网、浙江省机械工业联合会、人民网浙江、新华网、公开财经资讯、iFinD公告检索。iFinD近7天公告检索返回空结果，热点事件接口无权限，已在结论中按“未披露/待核实”处理。</w:t>
      </w:r>
    </w:p>
    <w:p>
      <w:r>
        <w:rPr>
          <w:rFonts w:ascii="华文楷体" w:hAnsi="华文楷体" w:eastAsia="华文楷体"/>
          <w:b/>
          <w:sz w:val="32"/>
        </w:rPr>
        <w:t>一、行业动态与发展总结</w:t>
      </w:r>
    </w:p>
    <w:p>
      <w:r>
        <w:rPr>
          <w:rFonts w:ascii="华文楷体" w:hAnsi="华文楷体" w:eastAsia="华文楷体"/>
          <w:b/>
          <w:sz w:val="28"/>
        </w:rPr>
        <w:t>1. 近期政策变动</w:t>
      </w:r>
    </w:p>
    <w:p>
      <w:pPr>
        <w:spacing w:line="288" w:lineRule="auto"/>
        <w:ind w:firstLine="480"/>
      </w:pPr>
      <w:r>
        <w:rPr>
          <w:rFonts w:ascii="华文楷体" w:hAnsi="华文楷体" w:eastAsia="华文楷体"/>
          <w:sz w:val="22"/>
        </w:rPr>
        <w:t>国家层面继续把“人工智能+制造”和智能制造标准体系放在制造业升级的主线位置。近期公开信息显示，智能制造标准体系建设目标进一步明确，2026年前后围绕智能工厂、行业应用、工业机器人、工业软件、数字孪生等方向制修订标准，推动企业从单点自动化走向体系化、标准化建设。政策含义不是简单买设备，而是要求制造企业把数据采集、工艺控制、质量追溯、设备运维、供应链协同纳入统一管理。</w:t>
      </w:r>
    </w:p>
    <w:p>
      <w:pPr>
        <w:spacing w:line="288" w:lineRule="auto"/>
        <w:ind w:firstLine="480"/>
      </w:pPr>
      <w:r>
        <w:rPr>
          <w:rFonts w:ascii="华文楷体" w:hAnsi="华文楷体" w:eastAsia="华文楷体"/>
          <w:sz w:val="22"/>
        </w:rPr>
        <w:t>民营经济与科技创新配套政策也在加速完善。国家发改委相关信息显示，下一步将围绕公平竞争、投融资、促进科技创新、规范经营等方面完善政策举措，推进惠企政策直达快享。对智能制造企业而言，政策重点从“有没有技术”延伸到“能否合规融资、持续研发、规范治理、规模化交付”。</w:t>
      </w:r>
    </w:p>
    <w:p>
      <w:pPr>
        <w:spacing w:line="288" w:lineRule="auto"/>
        <w:ind w:firstLine="480"/>
      </w:pPr>
      <w:r>
        <w:rPr>
          <w:rFonts w:ascii="华文楷体" w:hAnsi="华文楷体" w:eastAsia="华文楷体"/>
          <w:sz w:val="22"/>
        </w:rPr>
        <w:t>综合影响闭环：政策信号指向“AI+制造、标准化智能工厂、科技型企业融资支持”三条主线。经营含义是制造企业会增加数字化改造、设备更新、智能物流、检测认证等投入；金融需求集中在技改项目资金、设备融资、研发周转、供应链付款和票据结算；银行可优先用科技创新和技术更新改造再贷款、普惠金融科创贷、短贷、银票贴现、国内信用证、付融通、资产池等产品切入，并通过“政策+项目+现金流”三张清单提高拜访效率。</w:t>
      </w:r>
    </w:p>
    <w:p>
      <w:r>
        <w:rPr>
          <w:rFonts w:ascii="华文楷体" w:hAnsi="华文楷体" w:eastAsia="华文楷体"/>
          <w:b/>
          <w:sz w:val="28"/>
        </w:rPr>
        <w:t>2. 行业发展趋势</w:t>
      </w:r>
    </w:p>
    <w:p>
      <w:pPr>
        <w:spacing w:line="288" w:lineRule="auto"/>
        <w:ind w:firstLine="480"/>
      </w:pPr>
      <w:r>
        <w:rPr>
          <w:rFonts w:ascii="华文楷体" w:hAnsi="华文楷体" w:eastAsia="华文楷体"/>
          <w:sz w:val="22"/>
        </w:rPr>
        <w:t>本周最清晰的行业主线是：具身智能从演示走向场景，AMR从“能跑”走向“会思考”，工业母机处在周期复苏与国产替代共振阶段。</w:t>
      </w:r>
    </w:p>
    <w:p>
      <w:pPr>
        <w:spacing w:line="288" w:lineRule="auto"/>
        <w:ind w:firstLine="480"/>
      </w:pPr>
      <w:r>
        <w:rPr>
          <w:rFonts w:ascii="华文楷体" w:hAnsi="华文楷体" w:eastAsia="华文楷体"/>
          <w:sz w:val="22"/>
        </w:rPr>
        <w:t>机器人方面，杭州具身机器人场景应用大赛吸引200多支国内外队伍，赛题从消防、电力巡检、水下救援、服务器接口插拔延伸到仓储物流训练，说明产业验证焦点正在从运动能力转向任务执行能力。AMR行业公开资料显示，2025年中国AGV/AMR市场销售规模约261亿元，同比增长18.10%，销量18.2万台，同比增长30.94%；工业制造仍是核心场景，汽车、3C、锂电、光伏、半导体等行业正在形成稳定采购。</w:t>
      </w:r>
    </w:p>
    <w:p>
      <w:pPr>
        <w:spacing w:line="288" w:lineRule="auto"/>
        <w:ind w:firstLine="480"/>
      </w:pPr>
      <w:r>
        <w:rPr>
          <w:rFonts w:ascii="华文楷体" w:hAnsi="华文楷体" w:eastAsia="华文楷体"/>
          <w:sz w:val="22"/>
        </w:rPr>
        <w:t>工业母机方面，公开券商研究显示，金属切削机床景气度改善，1-2月中国金切机床营收同比增长15.3%，出口同比增长16.9%；五轴机床受低空经济、机器人、半导体和新能源车零部件拉动，国产替代率提升。对银行而言，机床企业与下游精密加工企业的订单、设备采购、库存和应收账款变化值得重点跟踪。</w:t>
      </w:r>
    </w:p>
    <w:p>
      <w:pPr>
        <w:spacing w:line="288" w:lineRule="auto"/>
        <w:ind w:firstLine="480"/>
      </w:pPr>
      <w:r>
        <w:rPr>
          <w:rFonts w:ascii="华文楷体" w:hAnsi="华文楷体" w:eastAsia="华文楷体"/>
          <w:sz w:val="22"/>
        </w:rPr>
        <w:t>工业软件与AI制造方面，趋势从“单点AI试点”转向“数据底座+工业智能体+组织流程再造”。制造企业普遍痛点仍是MES、ERP、PLM、SCADA之间的数据烟囱，银行客户经理可把数字财资、慧收款、资产池、供应链金融与企业数字化改造需求放在同一场景中沟通。</w:t>
      </w:r>
    </w:p>
    <w:p>
      <w:r>
        <w:rPr>
          <w:rFonts w:ascii="华文楷体" w:hAnsi="华文楷体" w:eastAsia="华文楷体"/>
          <w:b/>
          <w:sz w:val="28"/>
        </w:rPr>
        <w:t>3. 上下游产业链动态</w:t>
      </w:r>
    </w:p>
    <w:p>
      <w:pPr>
        <w:spacing w:line="288" w:lineRule="auto"/>
        <w:ind w:firstLine="480"/>
      </w:pPr>
      <w:r>
        <w:rPr>
          <w:rFonts w:ascii="华文楷体" w:hAnsi="华文楷体" w:eastAsia="华文楷体"/>
          <w:sz w:val="22"/>
        </w:rPr>
        <w:t>上游环节，伺服系统、减速器、传感器、激光雷达、机器视觉、控制器、数控系统、工业软件是本轮智能制造投资的核心卡点。国产化率提升会带来研发费用、备货、设备投入和账期拉长。</w:t>
      </w:r>
    </w:p>
    <w:p>
      <w:pPr>
        <w:spacing w:line="288" w:lineRule="auto"/>
        <w:ind w:firstLine="480"/>
      </w:pPr>
      <w:r>
        <w:rPr>
          <w:rFonts w:ascii="华文楷体" w:hAnsi="华文楷体" w:eastAsia="华文楷体"/>
          <w:sz w:val="22"/>
        </w:rPr>
        <w:t>中游环节，整机企业、系统集成商和智能装备企业正从单机销售转向“设备+软件+数据服务”。这类企业通常有项目制回款周期，适合关注订单融资、付融通、商票保贴、银票贴现和现金管理。</w:t>
      </w:r>
    </w:p>
    <w:p>
      <w:pPr>
        <w:spacing w:line="288" w:lineRule="auto"/>
        <w:ind w:firstLine="480"/>
      </w:pPr>
      <w:r>
        <w:rPr>
          <w:rFonts w:ascii="华文楷体" w:hAnsi="华文楷体" w:eastAsia="华文楷体"/>
          <w:sz w:val="22"/>
        </w:rPr>
        <w:t>下游环节，汽车零部件、锂电、半导体、3C、光伏、机场交通、园区物流、医院配送等应用场景持续扩容。核心企业若能提供真实订单、验收记录和回款账户，具备批量导入上下游供应商金融的条件。</w:t>
      </w:r>
    </w:p>
    <w:p>
      <w:r>
        <w:rPr>
          <w:rFonts w:ascii="华文楷体" w:hAnsi="华文楷体" w:eastAsia="华文楷体"/>
          <w:b/>
          <w:sz w:val="32"/>
        </w:rPr>
        <w:t>二、浙江地区动态与区域机会</w:t>
      </w:r>
    </w:p>
    <w:p>
      <w:r>
        <w:rPr>
          <w:rFonts w:ascii="华文楷体" w:hAnsi="华文楷体" w:eastAsia="华文楷体"/>
          <w:b/>
          <w:sz w:val="28"/>
        </w:rPr>
        <w:t>1. 浙江政策与政府规划</w:t>
      </w:r>
    </w:p>
    <w:p>
      <w:pPr>
        <w:spacing w:line="288" w:lineRule="auto"/>
        <w:ind w:firstLine="480"/>
      </w:pPr>
      <w:r>
        <w:rPr>
          <w:rFonts w:ascii="华文楷体" w:hAnsi="华文楷体" w:eastAsia="华文楷体"/>
          <w:sz w:val="22"/>
        </w:rPr>
        <w:t>杭州“十五五”规划相关发布会明确，杭州将加快推动人工智能创新发展第一城建设，推进开源基础大模型、具身智能、智能经济制度创新三大任务。杭州已集聚阿里千问、DeepSeek等开源基础大模型，以及宇树科技、云深处等具身智能企业，落地医疗、具身智能等国家人工智能应用中试基地。</w:t>
      </w:r>
    </w:p>
    <w:p>
      <w:pPr>
        <w:spacing w:line="288" w:lineRule="auto"/>
        <w:ind w:firstLine="480"/>
      </w:pPr>
      <w:r>
        <w:rPr>
          <w:rFonts w:ascii="华文楷体" w:hAnsi="华文楷体" w:eastAsia="华文楷体"/>
          <w:sz w:val="22"/>
        </w:rPr>
        <w:t>杭州先进制造业集群方向也更清晰：正培育建设“296X”先进制造业集群，打造人工智能、视觉智能2个万亿级集群，具身智能机器人及其他智能终端等9个千亿级集群，并实施“人工智能+制造”专项行动，重点推进AI工厂、行业大模型、工业智能体平台建设。</w:t>
      </w:r>
    </w:p>
    <w:p>
      <w:r>
        <w:rPr>
          <w:rFonts w:ascii="华文楷体" w:hAnsi="华文楷体" w:eastAsia="华文楷体"/>
          <w:b/>
          <w:sz w:val="28"/>
        </w:rPr>
        <w:t>2. 政府规划与产业方向</w:t>
      </w:r>
    </w:p>
    <w:p>
      <w:pPr>
        <w:spacing w:line="288" w:lineRule="auto"/>
        <w:ind w:firstLine="480"/>
      </w:pPr>
      <w:r>
        <w:rPr>
          <w:rFonts w:ascii="华文楷体" w:hAnsi="华文楷体" w:eastAsia="华文楷体"/>
          <w:sz w:val="22"/>
        </w:rPr>
        <w:t>浙江的机会不是单个城市单打独斗，而是杭甬协同。杭州强在AI算法、开源生态、具身智能研发和创新资本；宁波强在工业门类、供应链配套、精密制造、汽车与新材料场景。新华网本周报道的宁波智造“五小虎”显示，宁波正在新材料、智能装备、机器视觉、智慧交通等细分赛道形成一批“小而硬”的高成长企业。</w:t>
      </w:r>
    </w:p>
    <w:p>
      <w:pPr>
        <w:spacing w:line="288" w:lineRule="auto"/>
        <w:ind w:firstLine="480"/>
      </w:pPr>
      <w:r>
        <w:rPr>
          <w:rFonts w:ascii="华文楷体" w:hAnsi="华文楷体" w:eastAsia="华文楷体"/>
          <w:sz w:val="22"/>
        </w:rPr>
        <w:t>杭州西湖区通过“基金+基地+场景+服务”模式推动具身智能项目落地，赛事机制既是技术筛选，也是产业招商和资本对接入口。宁波则围绕宇树智能应急机器人产业园、五小虎企业、专精特新和单项冠军配套，承接杭州技术外溢和量产需求。</w:t>
      </w:r>
    </w:p>
    <w:p>
      <w:r>
        <w:rPr>
          <w:rFonts w:ascii="华文楷体" w:hAnsi="华文楷体" w:eastAsia="华文楷体"/>
          <w:b/>
          <w:sz w:val="28"/>
        </w:rPr>
        <w:t>3. 浙江重点产业与区域机会</w:t>
      </w:r>
    </w:p>
    <w:p>
      <w:pPr>
        <w:spacing w:line="288" w:lineRule="auto"/>
        <w:ind w:firstLine="480"/>
      </w:pPr>
      <w:r>
        <w:rPr>
          <w:rFonts w:ascii="华文楷体" w:hAnsi="华文楷体" w:eastAsia="华文楷体"/>
          <w:sz w:val="22"/>
        </w:rPr>
        <w:t>第一，杭州具身智能产业链。宇树科技、云深处等整机企业带动关节模组、控制器、感知系统、结构件、测试认证、AI算力和场景运营需求。</w:t>
      </w:r>
    </w:p>
    <w:p>
      <w:pPr>
        <w:spacing w:line="288" w:lineRule="auto"/>
        <w:ind w:firstLine="480"/>
      </w:pPr>
      <w:r>
        <w:rPr>
          <w:rFonts w:ascii="华文楷体" w:hAnsi="华文楷体" w:eastAsia="华文楷体"/>
          <w:sz w:val="22"/>
        </w:rPr>
        <w:t>第二，宁波智能装备与机器视觉。宁波中亿智能在高端轴承装配检测装备上实现微米级检测，昂霖智能用AGV底盘做高速道路预警机器人，体现宁波在“制造场景+智能装备”的落地优势。</w:t>
      </w:r>
    </w:p>
    <w:p>
      <w:pPr>
        <w:spacing w:line="288" w:lineRule="auto"/>
        <w:ind w:firstLine="480"/>
      </w:pPr>
      <w:r>
        <w:rPr>
          <w:rFonts w:ascii="华文楷体" w:hAnsi="华文楷体" w:eastAsia="华文楷体"/>
          <w:sz w:val="22"/>
        </w:rPr>
        <w:t>第三，宁波新材料服务机器人与新能源链。瑞凌新能源与宇树机器人硬件平台结构组推进辐射制冷材料在防爆特种机器人领域测试，柔荷新能源材料已建成4条自主研发产线并进入电池热防护材料场景。</w:t>
      </w:r>
    </w:p>
    <w:p>
      <w:r>
        <w:rPr>
          <w:rFonts w:ascii="华文楷体" w:hAnsi="华文楷体" w:eastAsia="华文楷体"/>
          <w:b/>
          <w:sz w:val="28"/>
        </w:rPr>
        <w:t>4. 浙江上下游产业链动态</w:t>
      </w:r>
    </w:p>
    <w:p>
      <w:pPr>
        <w:spacing w:line="288" w:lineRule="auto"/>
        <w:ind w:firstLine="480"/>
      </w:pPr>
      <w:r>
        <w:rPr>
          <w:rFonts w:ascii="华文楷体" w:hAnsi="华文楷体" w:eastAsia="华文楷体"/>
          <w:sz w:val="22"/>
        </w:rPr>
        <w:t>杭州侧更偏研发、整机、算法、测试认证和资本；宁波侧更偏零部件、量产、材料、精密加工和应用场景。银行可沿“杭州研发主体—宁波量产基地—本地供应商—下游客户”做链式客户地图，而不是只看单户授信。</w:t>
      </w:r>
    </w:p>
    <w:p>
      <w:r>
        <w:rPr>
          <w:rFonts w:ascii="华文楷体" w:hAnsi="华文楷体" w:eastAsia="华文楷体"/>
          <w:b/>
          <w:sz w:val="28"/>
        </w:rPr>
        <w:t>5. 银行展业机会</w:t>
      </w:r>
    </w:p>
    <w:p>
      <w:pPr>
        <w:spacing w:line="288" w:lineRule="auto"/>
        <w:ind w:firstLine="480"/>
      </w:pPr>
      <w:r>
        <w:rPr>
          <w:rFonts w:ascii="华文楷体" w:hAnsi="华文楷体" w:eastAsia="华文楷体"/>
          <w:sz w:val="22"/>
        </w:rPr>
        <w:t>1. 围绕具身智能整机企业的量产和供应链付款，切入短贷、银票无感贴现、商票e贴、付融通和资产池。</w:t>
      </w:r>
    </w:p>
    <w:p>
      <w:pPr>
        <w:spacing w:line="288" w:lineRule="auto"/>
        <w:ind w:firstLine="480"/>
      </w:pPr>
      <w:r>
        <w:rPr>
          <w:rFonts w:ascii="华文楷体" w:hAnsi="华文楷体" w:eastAsia="华文楷体"/>
          <w:sz w:val="22"/>
        </w:rPr>
        <w:t>2. 围绕宁波智能装备企业的项目制交付，切入订单融资、国内信用证开证及融资、境内保函、银票贴现。</w:t>
      </w:r>
    </w:p>
    <w:p>
      <w:pPr>
        <w:spacing w:line="288" w:lineRule="auto"/>
        <w:ind w:firstLine="480"/>
      </w:pPr>
      <w:r>
        <w:rPr>
          <w:rFonts w:ascii="华文楷体" w:hAnsi="华文楷体" w:eastAsia="华文楷体"/>
          <w:sz w:val="22"/>
        </w:rPr>
        <w:t>3. 围绕新材料企业产线扩建和设备采购，切入科技创新和技术更新改造再贷款、普惠金融科创贷、平安租赁。</w:t>
      </w:r>
    </w:p>
    <w:p>
      <w:pPr>
        <w:spacing w:line="288" w:lineRule="auto"/>
        <w:ind w:firstLine="480"/>
      </w:pPr>
      <w:r>
        <w:rPr>
          <w:rFonts w:ascii="华文楷体" w:hAnsi="华文楷体" w:eastAsia="华文楷体"/>
          <w:sz w:val="22"/>
        </w:rPr>
        <w:t>4. 围绕出口或跨区域交付企业，配置跨境支付结算、跨境贸易金融、外币存款、平安避险。</w:t>
      </w:r>
    </w:p>
    <w:p>
      <w:pPr>
        <w:spacing w:line="288" w:lineRule="auto"/>
        <w:ind w:firstLine="480"/>
      </w:pPr>
      <w:r>
        <w:rPr>
          <w:rFonts w:ascii="华文楷体" w:hAnsi="华文楷体" w:eastAsia="华文楷体"/>
          <w:sz w:val="22"/>
        </w:rPr>
        <w:t>5. 围绕成长型专精特新企业，提供数字财资、慧收款、口袋管家、平安薪，提高结算与代发黏性。</w:t>
      </w:r>
    </w:p>
    <w:p>
      <w:r>
        <w:rPr>
          <w:rFonts w:ascii="华文楷体" w:hAnsi="华文楷体" w:eastAsia="华文楷体"/>
          <w:b/>
          <w:sz w:val="32"/>
        </w:rPr>
        <w:t>三、重点企业推荐</w:t>
      </w:r>
    </w:p>
    <w:p>
      <w:r>
        <w:rPr>
          <w:rFonts w:ascii="华文楷体" w:hAnsi="华文楷体" w:eastAsia="华文楷体"/>
          <w:b/>
          <w:sz w:val="28"/>
        </w:rPr>
        <w:t>企业名称：宇树科技股份有限公司</w:t>
      </w:r>
    </w:p>
    <w:p>
      <w:pPr>
        <w:spacing w:line="288" w:lineRule="auto"/>
        <w:ind w:firstLine="480"/>
      </w:pPr>
      <w:r>
        <w:rPr>
          <w:rFonts w:ascii="华文楷体" w:hAnsi="华文楷体" w:eastAsia="华文楷体"/>
          <w:sz w:val="22"/>
        </w:rPr>
        <w:t>推荐等级： 高</w:t>
      </w:r>
    </w:p>
    <w:p>
      <w:pPr>
        <w:spacing w:line="288" w:lineRule="auto"/>
        <w:ind w:firstLine="480"/>
      </w:pPr>
      <w:r>
        <w:rPr>
          <w:rFonts w:ascii="华文楷体" w:hAnsi="华文楷体" w:eastAsia="华文楷体"/>
          <w:sz w:val="22"/>
        </w:rPr>
        <w:t>所属行业： 具身智能机器人、四足/人形机器人</w:t>
      </w:r>
    </w:p>
    <w:p>
      <w:pPr>
        <w:spacing w:line="288" w:lineRule="auto"/>
        <w:ind w:firstLine="480"/>
      </w:pPr>
      <w:r>
        <w:rPr>
          <w:rFonts w:ascii="华文楷体" w:hAnsi="华文楷体" w:eastAsia="华文楷体"/>
          <w:sz w:val="22"/>
        </w:rPr>
        <w:t>所在地区： 杭州；宁波有智能应急机器人产业园布局</w:t>
      </w:r>
    </w:p>
    <w:p>
      <w:pPr>
        <w:spacing w:line="288" w:lineRule="auto"/>
        <w:ind w:firstLine="480"/>
      </w:pPr>
      <w:r>
        <w:rPr>
          <w:rFonts w:ascii="华文楷体" w:hAnsi="华文楷体" w:eastAsia="华文楷体"/>
          <w:sz w:val="22"/>
        </w:rPr>
        <w:t>产业链位置： 中游整机/平台型</w:t>
      </w:r>
    </w:p>
    <w:p>
      <w:pPr>
        <w:spacing w:line="288" w:lineRule="auto"/>
        <w:ind w:firstLine="480"/>
      </w:pPr>
      <w:r>
        <w:rPr>
          <w:rFonts w:ascii="华文楷体" w:hAnsi="华文楷体" w:eastAsia="华文楷体"/>
          <w:sz w:val="22"/>
        </w:rPr>
        <w:t>推荐方向： 流动资金、供应链金融、票据、现金管理、跨境结算、综合金融</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成立于2016年，聚焦智能机器人研发、生产与销售。近期发布量产版载人机甲GD01，宁波产业园规划总投资12.42亿元、占地116亩，建成后月产500台行业应用机器人。高层与团队背景：公开信息显示创始人、法定代表人为王兴兴，研究生阶段已自主开发四足机器人；具体导师、CFO等信息未披露。银行关注点：创始人技术产品化能力强，杭州研发与宁波量产协同明显，有望带动零部件和应用场景供应链。</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具身智能是杭州重点打造的先进制造业集群方向，宇树处于本地链主位置；宁波产业园带来明确量产、设备采购、供应商付款和园区结算需求；机器人产品出海和跨区域交付会带来跨境结算、外币资金管理和汇率避险需求。</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量产爬坡会增加零部件采购和供应商账期，适合用付融通、商票e贴、银票无感贴现做链主授信和供应商融资；产线建设与设备采购适合匹配科技创新和技术更新改造再贷款、平安租赁；海外订单和全球渠道适合跨境支付结算、跨境贸易金融、外币存款和平安避险。</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建议以付融通和商票e贴切入，解决企业量产阶段对供应商付款和账期管理需求；配套科技创新和技术更新改造再贷款、平安租赁、资产池和跨境支付结算。额度、期限、费率待沟通。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我们关注到宇树宁波产业园和杭州具身智能场景正在同步推进，量产阶段最容易出现供应商付款、设备投入和跨境结算压力。我们可以先帮贵司梳理核心供应商、订单回款和设备采购计划，做一套不增加财务复杂度的供应链和现金管理方案。”</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具身智能仍处商业化早期，产品迭代快、研发投入高，需结合订单真实性、回款结构、供应商集中度、海外收入占比和现金流进行尽调。</w:t>
      </w:r>
    </w:p>
    <w:p>
      <w:r>
        <w:rPr>
          <w:rFonts w:ascii="华文楷体" w:hAnsi="华文楷体" w:eastAsia="华文楷体"/>
          <w:b/>
          <w:sz w:val="28"/>
        </w:rPr>
        <w:t>企业名称：杭州云深处科技有限公司</w:t>
      </w:r>
    </w:p>
    <w:p>
      <w:pPr>
        <w:spacing w:line="288" w:lineRule="auto"/>
        <w:ind w:firstLine="480"/>
      </w:pPr>
      <w:r>
        <w:rPr>
          <w:rFonts w:ascii="华文楷体" w:hAnsi="华文楷体" w:eastAsia="华文楷体"/>
          <w:sz w:val="22"/>
        </w:rPr>
        <w:t>推荐等级： 高</w:t>
      </w:r>
    </w:p>
    <w:p>
      <w:pPr>
        <w:spacing w:line="288" w:lineRule="auto"/>
        <w:ind w:firstLine="480"/>
      </w:pPr>
      <w:r>
        <w:rPr>
          <w:rFonts w:ascii="华文楷体" w:hAnsi="华文楷体" w:eastAsia="华文楷体"/>
          <w:sz w:val="22"/>
        </w:rPr>
        <w:t>所属行业： 四足机器人、人形机器人及核心零部件</w:t>
      </w:r>
    </w:p>
    <w:p>
      <w:pPr>
        <w:spacing w:line="288" w:lineRule="auto"/>
        <w:ind w:firstLine="480"/>
      </w:pPr>
      <w:r>
        <w:rPr>
          <w:rFonts w:ascii="华文楷体" w:hAnsi="华文楷体" w:eastAsia="华文楷体"/>
          <w:sz w:val="22"/>
        </w:rPr>
        <w:t>所在地区： 杭州</w:t>
      </w:r>
    </w:p>
    <w:p>
      <w:pPr>
        <w:spacing w:line="288" w:lineRule="auto"/>
        <w:ind w:firstLine="480"/>
      </w:pPr>
      <w:r>
        <w:rPr>
          <w:rFonts w:ascii="华文楷体" w:hAnsi="华文楷体" w:eastAsia="华文楷体"/>
          <w:sz w:val="22"/>
        </w:rPr>
        <w:t>产业链位置： 中游整机/核心零部件</w:t>
      </w:r>
    </w:p>
    <w:p>
      <w:pPr>
        <w:spacing w:line="288" w:lineRule="auto"/>
        <w:ind w:firstLine="480"/>
      </w:pPr>
      <w:r>
        <w:rPr>
          <w:rFonts w:ascii="华文楷体" w:hAnsi="华文楷体" w:eastAsia="华文楷体"/>
          <w:sz w:val="22"/>
        </w:rPr>
        <w:t>推荐方向： IPO前综合金融、供应链金融、票据、现金管理、代发</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成立于2017年，总部位于杭州西湖区，聚焦具身智能技术创新与行业应用。公开信息显示公司已启动上市辅导，辅导期覆盖2025年12月至2026年6月。高层与团队背景：创始人兼CEO朱秋国，联合创始人兼CTO李超；公开信息披露朱秋国直接及通过员工持股平台合计控制较高比例股权，具体学校、导师信息未披露。银行关注点：上市辅导阶段对规范治理、资金流水、募投规划和员工激励都有较高要求。</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杭州政策明确攻坚具身智能，云深处是本地成熟整机企业之一；上市辅导意味着资本市场服务、资金归集、薪酬代发、研发投入管理和供应链规范化需求上升；赛事和场景推广会带来试点项目交付与验收回款。</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上市辅导阶段可切入数字财资、资产池、平安薪和资本市场综合服务；项目制订单可匹配订单融资、商票贴现、国内信用证；核心零部件采购可做付融通或供应链金融。</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建议以数字财资和资产池切入，帮助企业规范多账户资金、票据和现金流管理；配套订单融资、商票贴现、平安薪及资本市场融资服务。额度、期限、费率待沟通。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“云深处进入上市辅导后，资金归集、票据管理、供应链付款和员工薪酬都会更强调规范性。我们可以从不改变现有业务节奏的资金管理和票据效率开始，先做一版上市辅导期的银行服务清单。”</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IPO进程、估值和产品商业化节奏存在不确定性，需核实辅导进度、订单结构、应收账款、研发费用和股权质押情况。</w:t>
      </w:r>
    </w:p>
    <w:p>
      <w:r>
        <w:rPr>
          <w:rFonts w:ascii="华文楷体" w:hAnsi="华文楷体" w:eastAsia="华文楷体"/>
          <w:b/>
          <w:sz w:val="28"/>
        </w:rPr>
        <w:t>企业名称：宁波中亿智能股份有限公司</w:t>
      </w:r>
    </w:p>
    <w:p>
      <w:pPr>
        <w:spacing w:line="288" w:lineRule="auto"/>
        <w:ind w:firstLine="480"/>
      </w:pPr>
      <w:r>
        <w:rPr>
          <w:rFonts w:ascii="华文楷体" w:hAnsi="华文楷体" w:eastAsia="华文楷体"/>
          <w:sz w:val="22"/>
        </w:rPr>
        <w:t>推荐等级： 高</w:t>
      </w:r>
    </w:p>
    <w:p>
      <w:pPr>
        <w:spacing w:line="288" w:lineRule="auto"/>
        <w:ind w:firstLine="480"/>
      </w:pPr>
      <w:r>
        <w:rPr>
          <w:rFonts w:ascii="华文楷体" w:hAnsi="华文楷体" w:eastAsia="华文楷体"/>
          <w:sz w:val="22"/>
        </w:rPr>
        <w:t>所属行业： 机器视觉、智能质检、高端轴承装配检测装备</w:t>
      </w:r>
    </w:p>
    <w:p>
      <w:pPr>
        <w:spacing w:line="288" w:lineRule="auto"/>
        <w:ind w:firstLine="480"/>
      </w:pPr>
      <w:r>
        <w:rPr>
          <w:rFonts w:ascii="华文楷体" w:hAnsi="华文楷体" w:eastAsia="华文楷体"/>
          <w:sz w:val="22"/>
        </w:rPr>
        <w:t>所在地区： 宁波</w:t>
      </w:r>
    </w:p>
    <w:p>
      <w:pPr>
        <w:spacing w:line="288" w:lineRule="auto"/>
        <w:ind w:firstLine="480"/>
      </w:pPr>
      <w:r>
        <w:rPr>
          <w:rFonts w:ascii="华文楷体" w:hAnsi="华文楷体" w:eastAsia="华文楷体"/>
          <w:sz w:val="22"/>
        </w:rPr>
        <w:t>产业链位置： 中游智能装备/系统集成</w:t>
      </w:r>
    </w:p>
    <w:p>
      <w:pPr>
        <w:spacing w:line="288" w:lineRule="auto"/>
        <w:ind w:firstLine="480"/>
      </w:pPr>
      <w:r>
        <w:rPr>
          <w:rFonts w:ascii="华文楷体" w:hAnsi="华文楷体" w:eastAsia="华文楷体"/>
          <w:sz w:val="22"/>
        </w:rPr>
        <w:t>推荐方向： 项目融资、订单融资、票据、现金管理、供应链金融</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自主研发智能检测装备，产品可捕捉头发丝十分之一粗细划痕，检测精度达到一微米以内，每秒可检测接近20个产品；“中亿二代”100型高端轴承装配检测智能装备获评国内首台（套）产品，已与全国300多家客户共建云端大数据库。高层与团队背景：公开报道披露董事长刘建军，教育背景、导师及CFO信息未披露。银行关注点：企业处于轴承和精密制造质量检测关键环节，客户数据库和首台套产品有助于验证技术壁垒。</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机器视觉和智能质检是AI+制造最先落地的场景之一；宁波精密制造和汽车零部件产业链为企业提供本地需求；项目制交付和大客户验收会带来备货、设备采购、应收账款和票据周转需求。</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围绕客户订单与验收回款，可切入订单融资、国内信用证开证及融资、银票极速贴现；围绕设备研发和产能提升，可匹配普惠金融科创贷或科技创新和技术更新改造再贷款；围绕大客户应收账款，可评估付融通或保理。</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建议以订单融资作为主推产品，解决项目交付期的备货与生产资金占用；配套银票极速贴现、国内信用证开证及融资、普惠金融科创贷。额度、期限、费率待沟通。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“贵司设备进入高端轴承检测场景，项目交付和验收回款周期可能带来阶段性资金占用。我们可以基于订单、合同和回款路径，设计一套订单融资加票据周转方案，尽量减少资金在项目过程中的沉淀。”</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需核实客户集中度、订单验收周期、应收账款账龄、知识产权归属和设备售后责任。</w:t>
      </w:r>
    </w:p>
    <w:p>
      <w:r>
        <w:rPr>
          <w:rFonts w:ascii="华文楷体" w:hAnsi="华文楷体" w:eastAsia="华文楷体"/>
          <w:b/>
          <w:sz w:val="28"/>
        </w:rPr>
        <w:t>企业名称：浙江柔荷新能源材料有限公司</w:t>
      </w:r>
    </w:p>
    <w:p>
      <w:pPr>
        <w:spacing w:line="288" w:lineRule="auto"/>
        <w:ind w:firstLine="480"/>
      </w:pPr>
      <w:r>
        <w:rPr>
          <w:rFonts w:ascii="华文楷体" w:hAnsi="华文楷体" w:eastAsia="华文楷体"/>
          <w:sz w:val="22"/>
        </w:rPr>
        <w:t>推荐等级： 中高</w:t>
      </w:r>
    </w:p>
    <w:p>
      <w:pPr>
        <w:spacing w:line="288" w:lineRule="auto"/>
        <w:ind w:firstLine="480"/>
      </w:pPr>
      <w:r>
        <w:rPr>
          <w:rFonts w:ascii="华文楷体" w:hAnsi="华文楷体" w:eastAsia="华文楷体"/>
          <w:sz w:val="22"/>
        </w:rPr>
        <w:t>所属行业： 新能源材料、电池热防护、固态电池材料</w:t>
      </w:r>
    </w:p>
    <w:p>
      <w:pPr>
        <w:spacing w:line="288" w:lineRule="auto"/>
        <w:ind w:firstLine="480"/>
      </w:pPr>
      <w:r>
        <w:rPr>
          <w:rFonts w:ascii="华文楷体" w:hAnsi="华文楷体" w:eastAsia="华文楷体"/>
          <w:sz w:val="22"/>
        </w:rPr>
        <w:t>所在地区： 宁波</w:t>
      </w:r>
    </w:p>
    <w:p>
      <w:pPr>
        <w:spacing w:line="288" w:lineRule="auto"/>
        <w:ind w:firstLine="480"/>
      </w:pPr>
      <w:r>
        <w:rPr>
          <w:rFonts w:ascii="华文楷体" w:hAnsi="华文楷体" w:eastAsia="华文楷体"/>
          <w:sz w:val="22"/>
        </w:rPr>
        <w:t>产业链位置： 上游材料</w:t>
      </w:r>
    </w:p>
    <w:p>
      <w:pPr>
        <w:spacing w:line="288" w:lineRule="auto"/>
        <w:ind w:firstLine="480"/>
      </w:pPr>
      <w:r>
        <w:rPr>
          <w:rFonts w:ascii="华文楷体" w:hAnsi="华文楷体" w:eastAsia="华文楷体"/>
          <w:sz w:val="22"/>
        </w:rPr>
        <w:t>推荐方向： 技改融资、设备融资、供应链金融、现金管理</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成立于2024年，已实现陶瓷纳米纤维气凝胶全流程智能化量产，拥有4条自主研发生产线和独有材料配方，产品用于电池组热防护，并瞄准固态电池电解质膜等前沿方向。高层与团队背景：公开报道披露董事长闫建华，教育背景、导师及核心技术团队信息未披露。银行关注点：企业处早期量产阶段，技术壁垒和客户导入是核心判断点。</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新能源电池安全、固态电池材料和高温隔热是产业链长期需求；企业已有智能化产线和车企、电池厂商合作信号；早期成长企业对设备、原材料、研发和订单周转资金需求较强。</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产线扩建与设备投入可匹配科技创新和技术更新改造再贷款、平安租赁；原材料采购和订单交付可匹配短贷、普惠金融科创贷、银票贴现；若进入核心客户供应链，可进一步做付融通或保理。</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建议以普惠金融科创贷和科技创新和技术更新改造再贷款切入，支持企业研发与产线投入；配套平安租赁、银票贴现和慧收款。额度、期限、费率待沟通。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“柔荷的材料已经进入电池热防护和固态电池相关方向，成长阶段资金主要卡在产线、原材料和客户账期。我们可以先看现有产线、订单和客户付款条件，匹配一套科创贷加设备融资方案。”</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公司成立时间较短，需核实量产稳定性、客户认证进度、订单合同、知识产权、现金流和股东支持能力。</w:t>
      </w:r>
    </w:p>
    <w:p>
      <w:r>
        <w:rPr>
          <w:rFonts w:ascii="华文楷体" w:hAnsi="华文楷体" w:eastAsia="华文楷体"/>
          <w:b/>
          <w:sz w:val="28"/>
        </w:rPr>
        <w:t>企业名称：宁波瑞凌新能源科技有限公司</w:t>
      </w:r>
    </w:p>
    <w:p>
      <w:pPr>
        <w:spacing w:line="288" w:lineRule="auto"/>
        <w:ind w:firstLine="480"/>
      </w:pPr>
      <w:r>
        <w:rPr>
          <w:rFonts w:ascii="华文楷体" w:hAnsi="华文楷体" w:eastAsia="华文楷体"/>
          <w:sz w:val="22"/>
        </w:rPr>
        <w:t>推荐等级： 中高</w:t>
      </w:r>
    </w:p>
    <w:p>
      <w:pPr>
        <w:spacing w:line="288" w:lineRule="auto"/>
        <w:ind w:firstLine="480"/>
      </w:pPr>
      <w:r>
        <w:rPr>
          <w:rFonts w:ascii="华文楷体" w:hAnsi="华文楷体" w:eastAsia="华文楷体"/>
          <w:sz w:val="22"/>
        </w:rPr>
        <w:t>所属行业： 辐射制冷材料、超材料、新能源节能材料</w:t>
      </w:r>
    </w:p>
    <w:p>
      <w:pPr>
        <w:spacing w:line="288" w:lineRule="auto"/>
        <w:ind w:firstLine="480"/>
      </w:pPr>
      <w:r>
        <w:rPr>
          <w:rFonts w:ascii="华文楷体" w:hAnsi="华文楷体" w:eastAsia="华文楷体"/>
          <w:sz w:val="22"/>
        </w:rPr>
        <w:t>所在地区： 宁波</w:t>
      </w:r>
    </w:p>
    <w:p>
      <w:pPr>
        <w:spacing w:line="288" w:lineRule="auto"/>
        <w:ind w:firstLine="480"/>
      </w:pPr>
      <w:r>
        <w:rPr>
          <w:rFonts w:ascii="华文楷体" w:hAnsi="华文楷体" w:eastAsia="华文楷体"/>
          <w:sz w:val="22"/>
        </w:rPr>
        <w:t>产业链位置： 上游材料/应用方案商</w:t>
      </w:r>
    </w:p>
    <w:p>
      <w:pPr>
        <w:spacing w:line="288" w:lineRule="auto"/>
        <w:ind w:firstLine="480"/>
      </w:pPr>
      <w:r>
        <w:rPr>
          <w:rFonts w:ascii="华文楷体" w:hAnsi="华文楷体" w:eastAsia="华文楷体"/>
          <w:sz w:val="22"/>
        </w:rPr>
        <w:t>推荐方向： 项目融资、供应链金融、跨行业场景拓展、现金管理</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建设奉化辐射制冷超材料生产基地，产品用于建筑外墙、机场廊桥、粮仓、设备柜等降温场景。本周公开报道显示，公司与宇树机器人硬件平台结构组推进辐射制冷材料在防爆特种机器人领域应用测试。高层与团队背景：公开报道披露副总裁刘丰维，实际控制人、董事长和核心团队教育背景未披露。银行关注点：材料从建筑节能向机器人散热、防爆特种场景延伸，应用边界扩大。</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低能耗制冷材料符合绿色制造与设备节能方向；与宇树硬件平台对接增强了在机器人产业链的潜在应用价值；项目应用场景多，容易形成合同交付和应收账款需求。</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围绕项目合同和验收回款做订单融资、保理、银票贴现；围绕生产基地和设备投入做平安租赁、科技创新和技术更新改造再贷款；围绕多场景客户回款做慧收款和数字财资。</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建议以订单融资和银票贴现切入，解决项目交付和客户账期带来的周转压力；配套平安租赁、慧收款、数字财资。额度、期限、费率待沟通。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“贵司材料从建筑节能延伸到机器人散热场景，项目机会会更分散也更高频。我们可以从重点客户合同和回款路径入手，帮您把项目周转、票据和收款对账一并做顺。”</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新场景测试尚需验证商业化规模，需核实客户导入、项目毛利、应收账款账龄、产能利用率和产品替代风险。</w:t>
      </w:r>
    </w:p>
    <w:p>
      <w:r>
        <w:rPr>
          <w:rFonts w:ascii="华文楷体" w:hAnsi="华文楷体" w:eastAsia="华文楷体"/>
          <w:b/>
          <w:sz w:val="28"/>
        </w:rPr>
        <w:t>企业名称：宁波昂霖智能装备有限公司</w:t>
      </w:r>
    </w:p>
    <w:p>
      <w:pPr>
        <w:spacing w:line="288" w:lineRule="auto"/>
        <w:ind w:firstLine="480"/>
      </w:pPr>
      <w:r>
        <w:rPr>
          <w:rFonts w:ascii="华文楷体" w:hAnsi="华文楷体" w:eastAsia="华文楷体"/>
          <w:sz w:val="22"/>
        </w:rPr>
        <w:t>推荐等级： 中</w:t>
      </w:r>
    </w:p>
    <w:p>
      <w:pPr>
        <w:spacing w:line="288" w:lineRule="auto"/>
        <w:ind w:firstLine="480"/>
      </w:pPr>
      <w:r>
        <w:rPr>
          <w:rFonts w:ascii="华文楷体" w:hAnsi="华文楷体" w:eastAsia="华文楷体"/>
          <w:sz w:val="22"/>
        </w:rPr>
        <w:t>所属行业： 智慧交通装备、AGV/AMR应用</w:t>
      </w:r>
    </w:p>
    <w:p>
      <w:pPr>
        <w:spacing w:line="288" w:lineRule="auto"/>
        <w:ind w:firstLine="480"/>
      </w:pPr>
      <w:r>
        <w:rPr>
          <w:rFonts w:ascii="华文楷体" w:hAnsi="华文楷体" w:eastAsia="华文楷体"/>
          <w:sz w:val="22"/>
        </w:rPr>
        <w:t>所在地区： 宁波</w:t>
      </w:r>
    </w:p>
    <w:p>
      <w:pPr>
        <w:spacing w:line="288" w:lineRule="auto"/>
        <w:ind w:firstLine="480"/>
      </w:pPr>
      <w:r>
        <w:rPr>
          <w:rFonts w:ascii="华文楷体" w:hAnsi="华文楷体" w:eastAsia="华文楷体"/>
          <w:sz w:val="22"/>
        </w:rPr>
        <w:t>产业链位置： 中游智能装备/场景方案商</w:t>
      </w:r>
    </w:p>
    <w:p>
      <w:pPr>
        <w:spacing w:line="288" w:lineRule="auto"/>
        <w:ind w:firstLine="480"/>
      </w:pPr>
      <w:r>
        <w:rPr>
          <w:rFonts w:ascii="华文楷体" w:hAnsi="华文楷体" w:eastAsia="华文楷体"/>
          <w:sz w:val="22"/>
        </w:rPr>
        <w:t>推荐方向： 政企项目融资、订单融资、保函、票据、现金管理</w:t>
      </w:r>
    </w:p>
    <w:p>
      <w:pPr>
        <w:spacing w:line="288" w:lineRule="auto"/>
        <w:ind w:firstLine="480"/>
      </w:pPr>
      <w:r>
        <w:rPr>
          <w:rFonts w:ascii="华文楷体" w:hAnsi="华文楷体" w:eastAsia="华文楷体"/>
          <w:sz w:val="22"/>
        </w:rPr>
        <w:t>企业关键信息：</w:t>
      </w:r>
    </w:p>
    <w:p>
      <w:pPr>
        <w:spacing w:line="288" w:lineRule="auto"/>
        <w:ind w:firstLine="480"/>
      </w:pPr>
      <w:r>
        <w:rPr>
          <w:rFonts w:ascii="华文楷体" w:hAnsi="华文楷体" w:eastAsia="华文楷体"/>
          <w:sz w:val="22"/>
        </w:rPr>
        <w:t>基本情况：公司研发“云预警机器人”和智能交通锥“自行锥”，能在高速公路事故后沿护栏自主行进至指定位置，支持多台机器人联动，解决高速封道布设安全痛点。高层与团队背景：公开报道披露总经理于显超，教育背景、导师和核心技术团队未披露。银行关注点：产品面向交通管理、应急响应等政企场景，订单真实性和回款周期是授信关键。</w:t>
      </w:r>
    </w:p>
    <w:p>
      <w:pPr>
        <w:spacing w:line="288" w:lineRule="auto"/>
        <w:ind w:firstLine="480"/>
      </w:pPr>
      <w:r>
        <w:rPr>
          <w:rFonts w:ascii="华文楷体" w:hAnsi="华文楷体" w:eastAsia="华文楷体"/>
          <w:sz w:val="22"/>
        </w:rPr>
        <w:t>推荐理由：</w:t>
      </w:r>
    </w:p>
    <w:p>
      <w:pPr>
        <w:spacing w:line="288" w:lineRule="auto"/>
        <w:ind w:firstLine="480"/>
      </w:pPr>
      <w:r>
        <w:rPr>
          <w:rFonts w:ascii="华文楷体" w:hAnsi="华文楷体" w:eastAsia="华文楷体"/>
          <w:sz w:val="22"/>
        </w:rPr>
        <w:t>智慧交通和应急装备具备公共安全刚需；AGV底盘与云端控制结合，属于机器人场景化落地；若进入高速、交警、应急等系统采购，订单规模与示范效应有望提升。</w:t>
      </w:r>
    </w:p>
    <w:p>
      <w:pPr>
        <w:spacing w:line="288" w:lineRule="auto"/>
        <w:ind w:firstLine="480"/>
      </w:pPr>
      <w:r>
        <w:rPr>
          <w:rFonts w:ascii="华文楷体" w:hAnsi="华文楷体" w:eastAsia="华文楷体"/>
          <w:sz w:val="22"/>
        </w:rPr>
        <w:t>银行展业机会：</w:t>
      </w:r>
    </w:p>
    <w:p>
      <w:pPr>
        <w:spacing w:line="288" w:lineRule="auto"/>
        <w:ind w:firstLine="480"/>
      </w:pPr>
      <w:r>
        <w:rPr>
          <w:rFonts w:ascii="华文楷体" w:hAnsi="华文楷体" w:eastAsia="华文楷体"/>
          <w:sz w:val="22"/>
        </w:rPr>
        <w:t>政企项目可用订单融资、境内保函、国内信用证开证及融资支持投标、履约和交付；票据回款可用银票贴现；项目回款账户可配套资产池和慧收款。</w:t>
      </w:r>
    </w:p>
    <w:p>
      <w:pPr>
        <w:spacing w:line="288" w:lineRule="auto"/>
        <w:ind w:firstLine="480"/>
      </w:pPr>
      <w:r>
        <w:rPr>
          <w:rFonts w:ascii="华文楷体" w:hAnsi="华文楷体" w:eastAsia="华文楷体"/>
          <w:sz w:val="22"/>
        </w:rPr>
        <w:t>推荐产品组合：</w:t>
      </w:r>
    </w:p>
    <w:p>
      <w:pPr>
        <w:spacing w:line="288" w:lineRule="auto"/>
        <w:ind w:firstLine="480"/>
      </w:pPr>
      <w:r>
        <w:rPr>
          <w:rFonts w:ascii="华文楷体" w:hAnsi="华文楷体" w:eastAsia="华文楷体"/>
          <w:sz w:val="22"/>
        </w:rPr>
        <w:t>建议以境内保函和订单融资切入，解决投标履约与项目交付资金占用；配套银票极速贴现、慧收款和资产池。额度、期限、费率待沟通。</w:t>
      </w:r>
    </w:p>
    <w:p>
      <w:pPr>
        <w:spacing w:line="288" w:lineRule="auto"/>
        <w:ind w:firstLine="480"/>
      </w:pPr>
      <w:r>
        <w:rPr>
          <w:rFonts w:ascii="华文楷体" w:hAnsi="华文楷体" w:eastAsia="华文楷体"/>
          <w:sz w:val="22"/>
        </w:rPr>
        <w:t>客户经理切入话术：</w:t>
      </w:r>
    </w:p>
    <w:p>
      <w:pPr>
        <w:spacing w:line="288" w:lineRule="auto"/>
        <w:ind w:firstLine="480"/>
      </w:pPr>
      <w:r>
        <w:rPr>
          <w:rFonts w:ascii="华文楷体" w:hAnsi="华文楷体" w:eastAsia="华文楷体"/>
          <w:sz w:val="22"/>
        </w:rPr>
        <w:t>“昂霖的自行锥解决高速封道安全问题，后续如果进入政企批量采购，投标、履约和验收回款都会占用资金。我们可以先围绕项目清单，配置保函、订单融资和票据周转方案。”</w:t>
      </w:r>
    </w:p>
    <w:p>
      <w:pPr>
        <w:spacing w:line="288" w:lineRule="auto"/>
        <w:ind w:firstLine="480"/>
      </w:pPr>
      <w:r>
        <w:rPr>
          <w:rFonts w:ascii="华文楷体" w:hAnsi="华文楷体" w:eastAsia="华文楷体"/>
          <w:sz w:val="22"/>
        </w:rPr>
        <w:t>风险提示：</w:t>
      </w:r>
    </w:p>
    <w:p>
      <w:pPr>
        <w:spacing w:line="288" w:lineRule="auto"/>
        <w:ind w:firstLine="480"/>
      </w:pPr>
      <w:r>
        <w:rPr>
          <w:rFonts w:ascii="华文楷体" w:hAnsi="华文楷体" w:eastAsia="华文楷体"/>
          <w:sz w:val="22"/>
        </w:rPr>
        <w:t>政企项目回款周期可能较长，需核实招投标资质、客户集中度、交付能力、验收条款和售后服务成本。</w:t>
      </w:r>
    </w:p>
    <w:p>
      <w:r>
        <w:rPr>
          <w:rFonts w:ascii="华文楷体" w:hAnsi="华文楷体" w:eastAsia="华文楷体"/>
          <w:b/>
          <w:sz w:val="32"/>
        </w:rPr>
        <w:t>四、客户经理行动建议</w:t>
      </w:r>
    </w:p>
    <w:p>
      <w:pPr>
        <w:spacing w:line="288" w:lineRule="auto"/>
        <w:ind w:firstLine="480"/>
      </w:pPr>
      <w:r>
        <w:rPr>
          <w:rFonts w:ascii="华文楷体" w:hAnsi="华文楷体" w:eastAsia="华文楷体"/>
          <w:sz w:val="22"/>
        </w:rPr>
        <w:t>1. 本周优先拜访宇树科技股份有限公司，围绕宁波产业园量产、核心供应商付款、设备采购和出海结算，准备“付融通/商票e贴+技改再贷款/平安租赁+跨境结算”组合方案。</w:t>
      </w:r>
    </w:p>
    <w:p>
      <w:pPr>
        <w:spacing w:line="288" w:lineRule="auto"/>
        <w:ind w:firstLine="480"/>
      </w:pPr>
      <w:r>
        <w:rPr>
          <w:rFonts w:ascii="华文楷体" w:hAnsi="华文楷体" w:eastAsia="华文楷体"/>
          <w:sz w:val="22"/>
        </w:rPr>
        <w:t>2. 跟进杭州云深处科技有限公司，切入上市辅导期资金规范化、票据管理、员工代发和资本市场综合服务，先从数字财资、资产池、平安薪建立黏性。</w:t>
      </w:r>
    </w:p>
    <w:p>
      <w:pPr>
        <w:spacing w:line="288" w:lineRule="auto"/>
        <w:ind w:firstLine="480"/>
      </w:pPr>
      <w:r>
        <w:rPr>
          <w:rFonts w:ascii="华文楷体" w:hAnsi="华文楷体" w:eastAsia="华文楷体"/>
          <w:sz w:val="22"/>
        </w:rPr>
        <w:t>3. 拜访宁波中亿智能股份有限公司，围绕高端轴承智能检测装备订单、客户验收周期和应收账款，准备订单融资、国内信用证和银票贴现方案。</w:t>
      </w:r>
    </w:p>
    <w:p>
      <w:pPr>
        <w:spacing w:line="288" w:lineRule="auto"/>
        <w:ind w:firstLine="480"/>
      </w:pPr>
      <w:r>
        <w:rPr>
          <w:rFonts w:ascii="华文楷体" w:hAnsi="华文楷体" w:eastAsia="华文楷体"/>
          <w:sz w:val="22"/>
        </w:rPr>
        <w:t>4. 对浙江柔荷新能源材料有限公司和宁波瑞凌新能源科技有限公司做新材料成长客户储备，重点核实产线、客户认证、订单合同和设备采购计划，匹配科创贷、技改再贷款和平安租赁。</w:t>
      </w:r>
    </w:p>
    <w:p>
      <w:pPr>
        <w:spacing w:line="288" w:lineRule="auto"/>
        <w:ind w:firstLine="480"/>
      </w:pPr>
      <w:r>
        <w:rPr>
          <w:rFonts w:ascii="华文楷体" w:hAnsi="华文楷体" w:eastAsia="华文楷体"/>
          <w:sz w:val="22"/>
        </w:rPr>
        <w:t>5. 对宁波昂霖智能装备有限公司关注政企项目清单和招投标节点，提前配置境内保函、订单融资、慧收款和资产池。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楷体" w:hAnsi="华文楷体" w:eastAsia="华文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HeaderChar">
    <w:name w:val="Header Char"/>
    <w:basedOn w:val="DefaultParagraphFont"/>
    <w:link w:val="Header"/>
    <w:uiPriority w:val="99"/>
    <w:rsid w:val="00E618BF"/>
    <w:rPr>
      <w:rFonts w:ascii="华文楷体" w:hAnsi="华文楷体" w:eastAsia="华文楷体"/>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华文楷体" w:hAnsi="华文楷体" w:eastAsia="华文楷体"/>
    </w:rPr>
  </w:style>
  <w:style w:type="character" w:customStyle="1" w:styleId="FooterChar">
    <w:name w:val="Footer Char"/>
    <w:basedOn w:val="DefaultParagraphFont"/>
    <w:link w:val="Footer"/>
    <w:uiPriority w:val="99"/>
    <w:rsid w:val="00E618BF"/>
    <w:rPr>
      <w:rFonts w:ascii="华文楷体" w:hAnsi="华文楷体" w:eastAsia="华文楷体"/>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华文楷体" w:hAnsi="华文楷体" w:eastAsia="华文楷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华文楷体" w:hAnsi="华文楷体" w:eastAsia="华文楷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华文楷体" w:hAnsi="华文楷体" w:eastAsia="华文楷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华文楷体" w:hAnsi="华文楷体" w:eastAsia="华文楷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华文楷体" w:hAnsi="华文楷体" w:eastAsia="华文楷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华文楷体" w:hAnsi="华文楷体" w:eastAsia="华文楷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华文楷体" w:hAnsi="华文楷体" w:eastAsia="华文楷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华文楷体" w:hAnsi="华文楷体" w:eastAsia="华文楷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华文楷体" w:hAnsi="华文楷体" w:eastAsia="华文楷体"/>
      <w:i/>
      <w:iCs/>
      <w:color w:val="404040" w:themeColor="text1" w:themeTint="BF"/>
      <w:sz w:val="20"/>
      <w:szCs w:val="20"/>
    </w:rPr>
  </w:style>
  <w:style w:type="character" w:default="1" w:styleId="DefaultParagraphFont">
    <w:name w:val="Default Paragraph Font"/>
    <w:uiPriority w:val="1"/>
    <w:semiHidden/>
    <w:unhideWhenUsed/>
    <w:rPr>
      <w:rFonts w:ascii="华文楷体" w:hAnsi="华文楷体" w:eastAsia="华文楷体"/>
    </w:rPr>
  </w:style>
  <w:style w:type="table" w:default="1" w:styleId="TableNormal">
    <w:name w:val="Normal Table"/>
    <w:uiPriority w:val="99"/>
    <w:semiHidden/>
    <w:unhideWhenUsed/>
    <w:rPr>
      <w:rFonts w:ascii="华文楷体" w:hAnsi="华文楷体" w:eastAsia="华文楷体"/>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华文楷体" w:hAnsi="华文楷体" w:eastAsia="华文楷体"/>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华文楷体" w:hAnsi="华文楷体" w:eastAsia="华文楷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华文楷体" w:hAnsi="华文楷体" w:eastAsia="华文楷体"/>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华文楷体" w:hAnsi="华文楷体" w:eastAsia="华文楷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华文楷体" w:hAnsi="华文楷体" w:eastAsia="华文楷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华文楷体" w:hAnsi="华文楷体" w:eastAsia="华文楷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华文楷体" w:hAnsi="华文楷体" w:eastAsia="华文楷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华文楷体" w:hAnsi="华文楷体" w:eastAsia="华文楷体"/>
    </w:rPr>
  </w:style>
  <w:style w:type="paragraph" w:styleId="BodyText">
    <w:name w:val="Body Text"/>
    <w:basedOn w:val="Normal"/>
    <w:link w:val="BodyTextChar"/>
    <w:uiPriority w:val="99"/>
    <w:unhideWhenUsed/>
    <w:rsid w:val="00AA1D8D"/>
    <w:pPr>
      <w:spacing w:after="120"/>
    </w:pPr>
    <w:rPr>
      <w:rFonts w:ascii="华文楷体" w:hAnsi="华文楷体" w:eastAsia="华文楷体"/>
    </w:rPr>
  </w:style>
  <w:style w:type="character" w:customStyle="1" w:styleId="BodyTextChar">
    <w:name w:val="Body Text Char"/>
    <w:basedOn w:val="DefaultParagraphFont"/>
    <w:link w:val="BodyText"/>
    <w:uiPriority w:val="99"/>
    <w:rsid w:val="00AA1D8D"/>
    <w:rPr>
      <w:rFonts w:ascii="华文楷体" w:hAnsi="华文楷体" w:eastAsia="华文楷体"/>
    </w:rPr>
  </w:style>
  <w:style w:type="paragraph" w:styleId="BodyText2">
    <w:name w:val="Body Text 2"/>
    <w:basedOn w:val="Normal"/>
    <w:link w:val="BodyText2Char"/>
    <w:uiPriority w:val="99"/>
    <w:unhideWhenUsed/>
    <w:rsid w:val="00AA1D8D"/>
    <w:pPr>
      <w:spacing w:after="120" w:line="480" w:lineRule="auto"/>
    </w:pPr>
    <w:rPr>
      <w:rFonts w:ascii="华文楷体" w:hAnsi="华文楷体" w:eastAsia="华文楷体"/>
    </w:rPr>
  </w:style>
  <w:style w:type="character" w:customStyle="1" w:styleId="BodyText2Char">
    <w:name w:val="Body Text 2 Char"/>
    <w:basedOn w:val="DefaultParagraphFont"/>
    <w:link w:val="BodyText2"/>
    <w:uiPriority w:val="99"/>
    <w:rsid w:val="00AA1D8D"/>
    <w:rPr>
      <w:rFonts w:ascii="华文楷体" w:hAnsi="华文楷体" w:eastAsia="华文楷体"/>
    </w:rPr>
  </w:style>
  <w:style w:type="paragraph" w:styleId="BodyText3">
    <w:name w:val="Body Text 3"/>
    <w:basedOn w:val="Normal"/>
    <w:link w:val="BodyText3Char"/>
    <w:uiPriority w:val="99"/>
    <w:unhideWhenUsed/>
    <w:rsid w:val="00AA1D8D"/>
    <w:pPr>
      <w:spacing w:after="120"/>
    </w:pPr>
    <w:rPr>
      <w:rFonts w:ascii="华文楷体" w:hAnsi="华文楷体" w:eastAsia="华文楷体"/>
      <w:sz w:val="16"/>
      <w:szCs w:val="16"/>
    </w:rPr>
  </w:style>
  <w:style w:type="character" w:customStyle="1" w:styleId="BodyText3Char">
    <w:name w:val="Body Text 3 Char"/>
    <w:basedOn w:val="DefaultParagraphFont"/>
    <w:link w:val="BodyText3"/>
    <w:uiPriority w:val="99"/>
    <w:rsid w:val="00AA1D8D"/>
    <w:rPr>
      <w:rFonts w:ascii="华文楷体" w:hAnsi="华文楷体" w:eastAsia="华文楷体"/>
      <w:sz w:val="16"/>
      <w:szCs w:val="16"/>
    </w:rPr>
  </w:style>
  <w:style w:type="paragraph" w:styleId="List">
    <w:name w:val="List"/>
    <w:basedOn w:val="Normal"/>
    <w:uiPriority w:val="99"/>
    <w:unhideWhenUsed/>
    <w:rsid w:val="00AA1D8D"/>
    <w:pPr>
      <w:ind w:left="360" w:hanging="360"/>
      <w:contextualSpacing/>
    </w:pPr>
    <w:rPr>
      <w:rFonts w:ascii="华文楷体" w:hAnsi="华文楷体" w:eastAsia="华文楷体"/>
    </w:rPr>
  </w:style>
  <w:style w:type="paragraph" w:styleId="List2">
    <w:name w:val="List 2"/>
    <w:basedOn w:val="Normal"/>
    <w:uiPriority w:val="99"/>
    <w:unhideWhenUsed/>
    <w:rsid w:val="00326F90"/>
    <w:pPr>
      <w:ind w:left="720" w:hanging="360"/>
      <w:contextualSpacing/>
    </w:pPr>
    <w:rPr>
      <w:rFonts w:ascii="华文楷体" w:hAnsi="华文楷体" w:eastAsia="华文楷体"/>
    </w:rPr>
  </w:style>
  <w:style w:type="paragraph" w:styleId="List3">
    <w:name w:val="List 3"/>
    <w:basedOn w:val="Normal"/>
    <w:uiPriority w:val="99"/>
    <w:unhideWhenUsed/>
    <w:rsid w:val="00326F90"/>
    <w:pPr>
      <w:ind w:left="1080" w:hanging="360"/>
      <w:contextualSpacing/>
    </w:pPr>
    <w:rPr>
      <w:rFonts w:ascii="华文楷体" w:hAnsi="华文楷体" w:eastAsia="华文楷体"/>
    </w:rPr>
  </w:style>
  <w:style w:type="paragraph" w:styleId="ListBullet">
    <w:name w:val="List Bullet"/>
    <w:basedOn w:val="Normal"/>
    <w:uiPriority w:val="99"/>
    <w:unhideWhenUsed/>
    <w:rsid w:val="00326F90"/>
    <w:pPr>
      <w:numPr>
        <w:numId w:val="1"/>
      </w:numPr>
      <w:contextualSpacing/>
    </w:pPr>
    <w:rPr>
      <w:rFonts w:ascii="华文楷体" w:hAnsi="华文楷体" w:eastAsia="华文楷体"/>
    </w:rPr>
  </w:style>
  <w:style w:type="paragraph" w:styleId="ListBullet2">
    <w:name w:val="List Bullet 2"/>
    <w:basedOn w:val="Normal"/>
    <w:uiPriority w:val="99"/>
    <w:unhideWhenUsed/>
    <w:rsid w:val="00326F90"/>
    <w:pPr>
      <w:numPr>
        <w:numId w:val="2"/>
      </w:numPr>
      <w:contextualSpacing/>
    </w:pPr>
    <w:rPr>
      <w:rFonts w:ascii="华文楷体" w:hAnsi="华文楷体" w:eastAsia="华文楷体"/>
    </w:rPr>
  </w:style>
  <w:style w:type="paragraph" w:styleId="ListBullet3">
    <w:name w:val="List Bullet 3"/>
    <w:basedOn w:val="Normal"/>
    <w:uiPriority w:val="99"/>
    <w:unhideWhenUsed/>
    <w:rsid w:val="00326F90"/>
    <w:pPr>
      <w:numPr>
        <w:numId w:val="3"/>
      </w:numPr>
      <w:contextualSpacing/>
    </w:pPr>
    <w:rPr>
      <w:rFonts w:ascii="华文楷体" w:hAnsi="华文楷体" w:eastAsia="华文楷体"/>
    </w:rPr>
  </w:style>
  <w:style w:type="paragraph" w:styleId="ListNumber">
    <w:name w:val="List Number"/>
    <w:basedOn w:val="Normal"/>
    <w:uiPriority w:val="99"/>
    <w:unhideWhenUsed/>
    <w:rsid w:val="00326F90"/>
    <w:pPr>
      <w:numPr>
        <w:numId w:val="5"/>
      </w:numPr>
      <w:contextualSpacing/>
    </w:pPr>
    <w:rPr>
      <w:rFonts w:ascii="华文楷体" w:hAnsi="华文楷体" w:eastAsia="华文楷体"/>
    </w:rPr>
  </w:style>
  <w:style w:type="paragraph" w:styleId="ListNumber2">
    <w:name w:val="List Number 2"/>
    <w:basedOn w:val="Normal"/>
    <w:uiPriority w:val="99"/>
    <w:unhideWhenUsed/>
    <w:rsid w:val="0029639D"/>
    <w:pPr>
      <w:numPr>
        <w:numId w:val="6"/>
      </w:numPr>
      <w:contextualSpacing/>
    </w:pPr>
    <w:rPr>
      <w:rFonts w:ascii="华文楷体" w:hAnsi="华文楷体" w:eastAsia="华文楷体"/>
    </w:rPr>
  </w:style>
  <w:style w:type="paragraph" w:styleId="ListNumber3">
    <w:name w:val="List Number 3"/>
    <w:basedOn w:val="Normal"/>
    <w:uiPriority w:val="99"/>
    <w:unhideWhenUsed/>
    <w:rsid w:val="0029639D"/>
    <w:pPr>
      <w:numPr>
        <w:numId w:val="7"/>
      </w:numPr>
      <w:contextualSpacing/>
    </w:pPr>
    <w:rPr>
      <w:rFonts w:ascii="华文楷体" w:hAnsi="华文楷体" w:eastAsia="华文楷体"/>
    </w:rPr>
  </w:style>
  <w:style w:type="paragraph" w:styleId="ListContinue">
    <w:name w:val="List Continue"/>
    <w:basedOn w:val="Normal"/>
    <w:uiPriority w:val="99"/>
    <w:unhideWhenUsed/>
    <w:rsid w:val="0029639D"/>
    <w:pPr>
      <w:spacing w:after="120"/>
      <w:ind w:left="360"/>
      <w:contextualSpacing/>
    </w:pPr>
    <w:rPr>
      <w:rFonts w:ascii="华文楷体" w:hAnsi="华文楷体" w:eastAsia="华文楷体"/>
    </w:rPr>
  </w:style>
  <w:style w:type="paragraph" w:styleId="ListContinue2">
    <w:name w:val="List Continue 2"/>
    <w:basedOn w:val="Normal"/>
    <w:uiPriority w:val="99"/>
    <w:unhideWhenUsed/>
    <w:rsid w:val="0029639D"/>
    <w:pPr>
      <w:spacing w:after="120"/>
      <w:ind w:left="720"/>
      <w:contextualSpacing/>
    </w:pPr>
    <w:rPr>
      <w:rFonts w:ascii="华文楷体" w:hAnsi="华文楷体" w:eastAsia="华文楷体"/>
    </w:rPr>
  </w:style>
  <w:style w:type="paragraph" w:styleId="ListContinue3">
    <w:name w:val="List Continue 3"/>
    <w:basedOn w:val="Normal"/>
    <w:uiPriority w:val="99"/>
    <w:unhideWhenUsed/>
    <w:rsid w:val="0029639D"/>
    <w:pPr>
      <w:spacing w:after="120"/>
      <w:ind w:left="1080"/>
      <w:contextualSpacing/>
    </w:pPr>
    <w:rPr>
      <w:rFonts w:ascii="华文楷体" w:hAnsi="华文楷体" w:eastAsia="华文楷体"/>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华文楷体" w:hAnsi="华文楷体" w:eastAsia="华文楷体"/>
      <w:sz w:val="20"/>
      <w:szCs w:val="20"/>
    </w:rPr>
  </w:style>
  <w:style w:type="character" w:customStyle="1" w:styleId="MacroTextChar">
    <w:name w:val="Macro Text Char"/>
    <w:basedOn w:val="DefaultParagraphFont"/>
    <w:link w:val="MacroText"/>
    <w:uiPriority w:val="99"/>
    <w:rsid w:val="0029639D"/>
    <w:rPr>
      <w:rFonts w:ascii="华文楷体" w:hAnsi="华文楷体" w:eastAsia="华文楷体"/>
      <w:sz w:val="20"/>
      <w:szCs w:val="20"/>
    </w:rPr>
  </w:style>
  <w:style w:type="paragraph" w:styleId="Quote">
    <w:name w:val="Quote"/>
    <w:basedOn w:val="Normal"/>
    <w:next w:val="Normal"/>
    <w:link w:val="QuoteChar"/>
    <w:uiPriority w:val="29"/>
    <w:qFormat/>
    <w:rsid w:val="00FC693F"/>
    <w:rPr>
      <w:rFonts w:ascii="华文楷体" w:hAnsi="华文楷体" w:eastAsia="华文楷体"/>
      <w:i/>
      <w:iCs/>
      <w:color w:val="000000" w:themeColor="text1"/>
    </w:rPr>
  </w:style>
  <w:style w:type="character" w:customStyle="1" w:styleId="QuoteChar">
    <w:name w:val="Quote Char"/>
    <w:basedOn w:val="DefaultParagraphFont"/>
    <w:link w:val="Quote"/>
    <w:uiPriority w:val="29"/>
    <w:rsid w:val="00FC693F"/>
    <w:rPr>
      <w:rFonts w:ascii="华文楷体" w:hAnsi="华文楷体" w:eastAsia="华文楷体"/>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华文楷体" w:hAnsi="华文楷体" w:eastAsia="华文楷体"/>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华文楷体" w:hAnsi="华文楷体" w:eastAsia="华文楷体"/>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华文楷体" w:hAnsi="华文楷体" w:eastAsia="华文楷体"/>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华文楷体" w:hAnsi="华文楷体" w:eastAsia="华文楷体"/>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华文楷体" w:hAnsi="华文楷体" w:eastAsia="华文楷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华文楷体" w:hAnsi="华文楷体" w:eastAsia="华文楷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华文楷体" w:hAnsi="华文楷体" w:eastAsia="华文楷体"/>
      <w:b/>
      <w:bCs/>
      <w:color w:val="4F81BD" w:themeColor="accent1"/>
      <w:sz w:val="18"/>
      <w:szCs w:val="18"/>
    </w:rPr>
  </w:style>
  <w:style w:type="character" w:styleId="Strong">
    <w:name w:val="Strong"/>
    <w:basedOn w:val="DefaultParagraphFont"/>
    <w:uiPriority w:val="22"/>
    <w:qFormat/>
    <w:rsid w:val="00FC693F"/>
    <w:rPr>
      <w:rFonts w:ascii="华文楷体" w:hAnsi="华文楷体" w:eastAsia="华文楷体"/>
      <w:b/>
      <w:bCs/>
    </w:rPr>
  </w:style>
  <w:style w:type="character" w:styleId="Emphasis">
    <w:name w:val="Emphasis"/>
    <w:basedOn w:val="DefaultParagraphFont"/>
    <w:uiPriority w:val="20"/>
    <w:qFormat/>
    <w:rsid w:val="00FC693F"/>
    <w:rPr>
      <w:rFonts w:ascii="华文楷体" w:hAnsi="华文楷体" w:eastAsia="华文楷体"/>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华文楷体" w:hAnsi="华文楷体" w:eastAsia="华文楷体"/>
      <w:b/>
      <w:bCs/>
      <w:i/>
      <w:iCs/>
      <w:color w:val="4F81BD" w:themeColor="accent1"/>
    </w:rPr>
  </w:style>
  <w:style w:type="character" w:customStyle="1" w:styleId="IntenseQuoteChar">
    <w:name w:val="Intense Quote Char"/>
    <w:basedOn w:val="DefaultParagraphFont"/>
    <w:link w:val="IntenseQuote"/>
    <w:uiPriority w:val="30"/>
    <w:rsid w:val="00FC693F"/>
    <w:rPr>
      <w:rFonts w:ascii="华文楷体" w:hAnsi="华文楷体" w:eastAsia="华文楷体"/>
      <w:b/>
      <w:bCs/>
      <w:i/>
      <w:iCs/>
      <w:color w:val="4F81BD" w:themeColor="accent1"/>
    </w:rPr>
  </w:style>
  <w:style w:type="character" w:styleId="SubtleEmphasis">
    <w:name w:val="Subtle Emphasis"/>
    <w:basedOn w:val="DefaultParagraphFont"/>
    <w:uiPriority w:val="19"/>
    <w:qFormat/>
    <w:rsid w:val="00FC693F"/>
    <w:rPr>
      <w:rFonts w:ascii="华文楷体" w:hAnsi="华文楷体" w:eastAsia="华文楷体"/>
      <w:i/>
      <w:iCs/>
      <w:color w:val="808080" w:themeColor="text1" w:themeTint="7F"/>
    </w:rPr>
  </w:style>
  <w:style w:type="character" w:styleId="IntenseEmphasis">
    <w:name w:val="Intense Emphasis"/>
    <w:basedOn w:val="DefaultParagraphFont"/>
    <w:uiPriority w:val="21"/>
    <w:qFormat/>
    <w:rsid w:val="00FC693F"/>
    <w:rPr>
      <w:rFonts w:ascii="华文楷体" w:hAnsi="华文楷体" w:eastAsia="华文楷体"/>
      <w:b/>
      <w:bCs/>
      <w:i/>
      <w:iCs/>
      <w:color w:val="4F81BD" w:themeColor="accent1"/>
    </w:rPr>
  </w:style>
  <w:style w:type="character" w:styleId="SubtleReference">
    <w:name w:val="Subtle Reference"/>
    <w:basedOn w:val="DefaultParagraphFont"/>
    <w:uiPriority w:val="31"/>
    <w:qFormat/>
    <w:rsid w:val="00FC693F"/>
    <w:rPr>
      <w:rFonts w:ascii="华文楷体" w:hAnsi="华文楷体" w:eastAsia="华文楷体"/>
      <w:smallCaps/>
      <w:color w:val="C0504D" w:themeColor="accent2"/>
      <w:u w:val="single"/>
    </w:rPr>
  </w:style>
  <w:style w:type="character" w:styleId="IntenseReference">
    <w:name w:val="Intense Reference"/>
    <w:basedOn w:val="DefaultParagraphFont"/>
    <w:uiPriority w:val="32"/>
    <w:qFormat/>
    <w:rsid w:val="00FC693F"/>
    <w:rPr>
      <w:rFonts w:ascii="华文楷体" w:hAnsi="华文楷体" w:eastAsia="华文楷体"/>
      <w:b/>
      <w:bCs/>
      <w:smallCaps/>
      <w:color w:val="C0504D" w:themeColor="accent2"/>
      <w:spacing w:val="5"/>
      <w:u w:val="single"/>
    </w:rPr>
  </w:style>
  <w:style w:type="character" w:styleId="BookTitle">
    <w:name w:val="Book Title"/>
    <w:basedOn w:val="DefaultParagraphFont"/>
    <w:uiPriority w:val="33"/>
    <w:qFormat/>
    <w:rsid w:val="00FC693F"/>
    <w:rPr>
      <w:rFonts w:ascii="华文楷体" w:hAnsi="华文楷体" w:eastAsia="华文楷体"/>
      <w:b/>
      <w:bCs/>
      <w:smallCaps/>
      <w:spacing w:val="5"/>
    </w:rPr>
  </w:style>
  <w:style w:type="paragraph" w:styleId="TOCHeading">
    <w:name w:val="TOC Heading"/>
    <w:basedOn w:val="Heading1"/>
    <w:next w:val="Normal"/>
    <w:uiPriority w:val="39"/>
    <w:semiHidden/>
    <w:unhideWhenUsed/>
    <w:qFormat/>
    <w:rsid w:val="00FC693F"/>
    <w:pPr>
      <w:outlineLvl w:val="9"/>
    </w:pPr>
    <w:rPr>
      <w:rFonts w:ascii="华文楷体" w:hAnsi="华文楷体" w:eastAsia="华文楷体"/>
    </w:rPr>
  </w:style>
  <w:style w:type="table" w:styleId="TableGrid">
    <w:name w:val="Table Grid"/>
    <w:basedOn w:val="TableNormal"/>
    <w:uiPriority w:val="59"/>
    <w:rsid w:val="00FC693F"/>
    <w:pPr>
      <w:spacing w:after="0" w:line="240" w:lineRule="auto"/>
    </w:pPr>
    <w:rPr>
      <w:rFonts w:ascii="华文楷体" w:hAnsi="华文楷体" w:eastAsia="华文楷体"/>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华文楷体" w:hAnsi="华文楷体" w:eastAsia="华文楷体"/>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华文楷体" w:hAnsi="华文楷体" w:eastAsia="华文楷体"/>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华文楷体" w:hAnsi="华文楷体" w:eastAsia="华文楷体"/>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华文楷体" w:hAnsi="华文楷体" w:eastAsia="华文楷体"/>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华文楷体" w:hAnsi="华文楷体" w:eastAsia="华文楷体"/>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华文楷体" w:hAnsi="华文楷体" w:eastAsia="华文楷体"/>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华文楷体" w:hAnsi="华文楷体" w:eastAsia="华文楷体"/>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华文楷体" w:hAnsi="华文楷体" w:eastAsia="华文楷体"/>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华文楷体" w:hAnsi="华文楷体" w:eastAsia="华文楷体"/>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华文楷体" w:hAnsi="华文楷体" w:eastAsia="华文楷体"/>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华文楷体" w:hAnsi="华文楷体" w:eastAsia="华文楷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华文楷体" w:hAnsi="华文楷体" w:eastAsia="华文楷体"/>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华文楷体" w:hAnsi="华文楷体" w:eastAsia="华文楷体"/>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华文楷体" w:hAnsi="华文楷体" w:eastAsia="华文楷体"/>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华文楷体" w:hAnsi="华文楷体" w:eastAsia="华文楷体"/>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华文楷体" w:hAnsi="华文楷体" w:eastAsia="华文楷体"/>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