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华文楷体" w:hAnsi="华文楷体"/>
          <w:b/>
          <w:sz w:val="36"/>
        </w:rPr>
        <w:t>智能制造行业商机周报</w:t>
      </w:r>
    </w:p>
    <w:p>
      <w:r>
        <w:rPr>
          <w:rFonts w:ascii="华文楷体" w:hAnsi="华文楷体"/>
          <w:sz w:val="24"/>
        </w:rPr>
        <w:t>覆盖周期： 2026.05.15-05.22</w:t>
      </w:r>
    </w:p>
    <w:p>
      <w:r>
        <w:rPr>
          <w:rFonts w:ascii="华文楷体" w:hAnsi="华文楷体"/>
          <w:sz w:val="24"/>
        </w:rPr>
        <w:t>资料来源： 财联社电报、新华网科技、36氪快讯、证券时报快讯页面、工控网、新华网客户端、36氪研究院、21世纪经济报道、北京商报、公开政策信息、iFinD公告检索。证券时报、IT之家机器人、36氪研究院入口页存在404/页面删除，已按规则记录并跳过；iFinD公告探测成功，长查询返回空结果，热点事件接口无权限。</w:t>
      </w:r>
    </w:p>
    <w:p>
      <w:r>
        <w:rPr>
          <w:rFonts w:ascii="华文楷体" w:hAnsi="华文楷体"/>
          <w:b/>
          <w:sz w:val="30"/>
        </w:rPr>
        <w:t>一、行业动态与发展总结</w:t>
      </w:r>
    </w:p>
    <w:p>
      <w:r>
        <w:rPr>
          <w:rFonts w:ascii="华文楷体" w:hAnsi="华文楷体"/>
          <w:b/>
          <w:sz w:val="26"/>
        </w:rPr>
        <w:t>1. 近期政策变动</w:t>
      </w:r>
    </w:p>
    <w:p>
      <w:r>
        <w:rPr>
          <w:rFonts w:ascii="华文楷体" w:hAnsi="华文楷体"/>
          <w:sz w:val="24"/>
        </w:rPr>
        <w:t>国家层面继续把具身智能、人工智能终端、智能制造标准化放在制造业升级主线。近期公开信息显示，具身智能已被纳入未来产业培育方向，行业讨论从“技术展示”转向“成果转化、批量生产、知识产权与产业链协同”。论坛专家判断，2026年是人形机器人批量生产元年，产业化关键在于核心零部件、运控系统、智能感控、灵巧操作、仿真训练平台和大规模数据采集训练。</w:t>
      </w:r>
    </w:p>
    <w:p>
      <w:r>
        <w:rPr>
          <w:rFonts w:ascii="华文楷体" w:hAnsi="华文楷体"/>
          <w:sz w:val="24"/>
        </w:rPr>
        <w:t>智能终端标准化也在推进。新华网科技本周披露，《人工智能终端智能化分级》系列国家标准发布，意味着AI终端、智能设备和人机交互产品将从概念竞争进入分级评价和规范供给阶段。对制造企业来说，这会提升产品认证、测试验证、研发投入和供应链质量管理要求。</w:t>
      </w:r>
    </w:p>
    <w:p>
      <w:r>
        <w:rPr>
          <w:rFonts w:ascii="华文楷体" w:hAnsi="华文楷体"/>
          <w:sz w:val="24"/>
        </w:rPr>
        <w:t>财联社与36氪快讯本周显示，深圳等地仍在通过智能家居和其他智能产品补贴拉动终端需求，补贴范围涉及扫地机器人、电动轮椅、外骨骼等智能产品。虽然该政策不属于浙江本地政策，但反映出智能终端消费端需求有政策托底。</w:t>
      </w:r>
    </w:p>
    <w:p>
      <w:r>
        <w:rPr>
          <w:rFonts w:ascii="华文楷体" w:hAnsi="华文楷体"/>
          <w:sz w:val="24"/>
        </w:rPr>
        <w:t>综合影响闭环：政策信号指向“具身智能产业化、AI终端标准化、智能产品补贴扩围”。经营含义是企业会加快研发、测试认证、产线扩建和订单交付；金融需求集中在研发周转、设备采购、供应链付款、票据结算和跨境收付；银行可用普惠金融科创贷、科技创新和技术更新改造再贷款、平安租赁、订单融资、银票贴现、商票e贴、付融通、数字财资等产品切入。</w:t>
      </w:r>
    </w:p>
    <w:p>
      <w:r>
        <w:rPr>
          <w:rFonts w:ascii="华文楷体" w:hAnsi="华文楷体"/>
          <w:b/>
          <w:sz w:val="26"/>
        </w:rPr>
        <w:t>2. 政府规划与产业方向</w:t>
      </w:r>
    </w:p>
    <w:p>
      <w:r>
        <w:rPr>
          <w:rFonts w:ascii="华文楷体" w:hAnsi="华文楷体"/>
          <w:sz w:val="24"/>
        </w:rPr>
        <w:t>全国层面看，智能制造的方向从单点自动化转向“AI+工业场景”。具身智能、人形机器人、工业机器人、工业软件、数字孪生、机器视觉和智能质检正在形成共同底座：数据采集、工业模型、边缘算力、智能装备和场景验证。</w:t>
      </w:r>
    </w:p>
    <w:p>
      <w:r>
        <w:rPr>
          <w:rFonts w:ascii="华文楷体" w:hAnsi="华文楷体"/>
          <w:sz w:val="24"/>
        </w:rPr>
        <w:t>36氪研究院本周发布的具身智能产业报告显示，2025年前11个月具身智能产业融资额达到334.73亿元，是2024年同期4倍；全年融资事件超过305起，总额超过380亿元，参与机构超过600家。报告判断，中国具身智能产业已处全球第一梯队，供应链完备度和成本优势突出，人形机器人将在2026年进入规模化放量和商业落地关键阶段，工业领域是商业化扩张的重要入口。</w:t>
      </w:r>
    </w:p>
    <w:p>
      <w:r>
        <w:rPr>
          <w:rFonts w:ascii="华文楷体" w:hAnsi="华文楷体"/>
          <w:sz w:val="24"/>
        </w:rPr>
        <w:t>iFinD公告探测结果显示，新睿电子招股说明书披露，2025年我国规模以上机器人制造企业工业机器人产量为77.31万套，工业机器人核心零部件技术成熟和进步是行业健康发展的重要保障。该公告强调控制器、伺服系统、减速器是产业链壁垒最高环节，说明上游核心零部件仍是国产替代和银行重点跟踪的融资场景。</w:t>
      </w:r>
    </w:p>
    <w:p>
      <w:r>
        <w:rPr>
          <w:rFonts w:ascii="华文楷体" w:hAnsi="华文楷体"/>
          <w:b/>
          <w:sz w:val="26"/>
        </w:rPr>
        <w:t>3. 行业发展趋势</w:t>
      </w:r>
    </w:p>
    <w:p>
      <w:r>
        <w:rPr>
          <w:rFonts w:ascii="华文楷体" w:hAnsi="华文楷体"/>
          <w:sz w:val="24"/>
        </w:rPr>
        <w:t>本周主线可以概括为三点：具身智能从资本热度走向收入验证，工业AI从通用大模型走向垂类场景，核心零部件国产化推动设备成本下探。</w:t>
      </w:r>
    </w:p>
    <w:p>
      <w:r>
        <w:rPr>
          <w:rFonts w:ascii="华文楷体" w:hAnsi="华文楷体"/>
          <w:sz w:val="24"/>
        </w:rPr>
        <w:t>具身智能方面，市场不再只看“能不能跑、能不能跳”，更看能否长期稳定运行、能否进入电力巡检、消防、仓储、交通、工业生产等真实场景。云深处IPO材料显示，To B行业应用已经能形成收入闭环；宇树科技则依托人形机器人规模化出货形成更大营收体量。两条路线共同说明，行业进入“场景、产能、现金流”共同验证阶段。</w:t>
      </w:r>
    </w:p>
    <w:p>
      <w:r>
        <w:rPr>
          <w:rFonts w:ascii="华文楷体" w:hAnsi="华文楷体"/>
          <w:sz w:val="24"/>
        </w:rPr>
        <w:t>工业AI方面，华为等企业案例显示，AI视觉质检、工艺优化、智能排产、设备预测维护和数字孪生正在成为制造企业数字化改造重点。客户经理需要重点关注拥有真实工厂场景、订单数据、检测数据和供应链数据的企业，这类企业更容易形成可授信的交易闭环。</w:t>
      </w:r>
    </w:p>
    <w:p>
      <w:r>
        <w:rPr>
          <w:rFonts w:ascii="华文楷体" w:hAnsi="华文楷体"/>
          <w:sz w:val="24"/>
        </w:rPr>
        <w:t>风险方面，行业仍有技术迭代快、产品同质化、低价竞争、研发投入高、商业化节奏不确定等问题。银行授信应避免只看估值和新闻热度，要回到订单、回款、毛利率、客户集中度、应收账款和供应链稳定性。</w:t>
      </w:r>
    </w:p>
    <w:p>
      <w:r>
        <w:rPr>
          <w:rFonts w:ascii="华文楷体" w:hAnsi="华文楷体"/>
          <w:b/>
          <w:sz w:val="26"/>
        </w:rPr>
        <w:t>4. 上下游产业链动态</w:t>
      </w:r>
    </w:p>
    <w:p>
      <w:r>
        <w:rPr>
          <w:rFonts w:ascii="华文楷体" w:hAnsi="华文楷体"/>
          <w:sz w:val="24"/>
        </w:rPr>
        <w:t>上游环节，控制器、伺服系统、减速器、传感器、视觉模组、激光雷达、轻量化材料、散热材料和工业软件是资金占用较大的关键环节。核心零部件企业通常需要持续研发和备货，适合科创贷、短贷、票据贴现和知识产权质押等方向。</w:t>
      </w:r>
    </w:p>
    <w:p>
      <w:r>
        <w:rPr>
          <w:rFonts w:ascii="华文楷体" w:hAnsi="华文楷体"/>
          <w:sz w:val="24"/>
        </w:rPr>
        <w:t>中游环节，机器人整机、智能装备、机器视觉和系统集成商从项目制交付走向规模化量产。订单签订、样机验证、批量生产、验收回款之间存在时间差，适合订单融资、国内信用证开证及融资、商票保贴、商票e贴、资产池和付融通。</w:t>
      </w:r>
    </w:p>
    <w:p>
      <w:r>
        <w:rPr>
          <w:rFonts w:ascii="华文楷体" w:hAnsi="华文楷体"/>
          <w:sz w:val="24"/>
        </w:rPr>
        <w:t>下游环节，电力巡检、消防应急、高速交通、汽车制造、电子电气、锂电、仓储物流、园区运维正在成为具身智能和AI制造的重点应用场景。核心企业一旦形成稳定采购，可带动本地零部件、材料、集成服务和维保企业批量获客。</w:t>
      </w:r>
    </w:p>
    <w:p>
      <w:r>
        <w:rPr>
          <w:rFonts w:ascii="华文楷体" w:hAnsi="华文楷体"/>
          <w:b/>
          <w:sz w:val="30"/>
        </w:rPr>
        <w:t>二、浙江地区动态与区域机会</w:t>
      </w:r>
    </w:p>
    <w:p>
      <w:r>
        <w:rPr>
          <w:rFonts w:ascii="华文楷体" w:hAnsi="华文楷体"/>
          <w:b/>
          <w:sz w:val="26"/>
        </w:rPr>
        <w:t>1. 浙江政策与政府规划</w:t>
      </w:r>
    </w:p>
    <w:p>
      <w:r>
        <w:rPr>
          <w:rFonts w:ascii="华文楷体" w:hAnsi="华文楷体"/>
          <w:sz w:val="24"/>
        </w:rPr>
        <w:t>宁波本周最值得关注的是《宁波市深化制造业数字化转型打造“人工智能+制造”全场景开放创新高地行动方案（2026—2028年）》。方案提出三年内培育具有行业影响力的工业垂类大模型20个，建设场景应用标志性项目100个，输出100个高质量场景解决方案，支持100个人工智能领域高层次人才项目，建成国家人工智能应用中试基地。到2028年，宁波还要打造10家具身智能进工厂典型案例，卓越级、领航级智能工厂数量保持全国前列。</w:t>
      </w:r>
    </w:p>
    <w:p>
      <w:r>
        <w:rPr>
          <w:rFonts w:ascii="华文楷体" w:hAnsi="华文楷体"/>
          <w:sz w:val="24"/>
        </w:rPr>
        <w:t>方案的重点任务包括工业高质量数据集、算力券、工业模型、智能装备创新、工业APP、智能工厂操作系统、AI+工业互联网、企业大脑、零碳工厂和具身智能进工厂。对银行而言，这意味着宁波制造企业会产生三类需求：一是设备与软件投入，二是数据、算力和系统集成服务采购，三是智能化项目回款周期下的营运资金安排。</w:t>
      </w:r>
    </w:p>
    <w:p>
      <w:r>
        <w:rPr>
          <w:rFonts w:ascii="华文楷体" w:hAnsi="华文楷体"/>
          <w:sz w:val="24"/>
        </w:rPr>
        <w:t>杭州侧，本周围绕全球人工智能技术大会、国家人工智能应用中试基地和“杭州六小龙”IPO动态持续升温。杭州的优势在算法、开源生态、具身智能研发和资本市场；宁波的优势在制造门类、供应链配套、精密制造和场景落地。杭甬协同正在成为浙江智能制造最清晰的区域机会。</w:t>
      </w:r>
    </w:p>
    <w:p>
      <w:r>
        <w:rPr>
          <w:rFonts w:ascii="华文楷体" w:hAnsi="华文楷体"/>
          <w:b/>
          <w:sz w:val="26"/>
        </w:rPr>
        <w:t>2. 浙江重点产业与区域机会</w:t>
      </w:r>
    </w:p>
    <w:p>
      <w:r>
        <w:rPr>
          <w:rFonts w:ascii="华文楷体" w:hAnsi="华文楷体"/>
          <w:sz w:val="24"/>
        </w:rPr>
        <w:t>第一，杭州具身智能产业链。宇树科技和云深处同时冲刺科创板，说明杭州机器人企业进入资本市场验证阶段。宇树科技2025年营收17.08亿元、净利润2.88亿元，云深处2025年营收3.37亿元、净利润2868.4万元。二者带动核心零部件、算法、测试验证、工业场景和供应链金融需求。</w:t>
      </w:r>
    </w:p>
    <w:p>
      <w:r>
        <w:rPr>
          <w:rFonts w:ascii="华文楷体" w:hAnsi="华文楷体"/>
          <w:sz w:val="24"/>
        </w:rPr>
        <w:t>第二，宁波“人工智能+制造”场景。宁波制造业主体多、门类全，制造业企业主体12.77万家，规上工业企业1.09万家，覆盖36个工业大类。政策推动工业垂类大模型、智能工厂和具身智能进工厂，客户经理可围绕汽车零部件、装备制造、机器视觉、新材料、智慧交通等行业建立扫客清单。</w:t>
      </w:r>
    </w:p>
    <w:p>
      <w:r>
        <w:rPr>
          <w:rFonts w:ascii="华文楷体" w:hAnsi="华文楷体"/>
          <w:sz w:val="24"/>
        </w:rPr>
        <w:t>第三，宁波智造“五小虎”。新华网本周报道的宁波昂霖智能、浙江柔荷、宁波瑞凌、宁波鸿雁、宁波中亿智能，分别对应智慧交通AGV、陶瓷纳米纤维气凝胶、辐射制冷材料、工业缠绕膜和AI外观检测装备。它们体量不一定大，但细分技术硬、场景清晰，适合用“专精特新+订单+设备+供应链”方式介入。</w:t>
      </w:r>
    </w:p>
    <w:p>
      <w:r>
        <w:rPr>
          <w:rFonts w:ascii="华文楷体" w:hAnsi="华文楷体"/>
          <w:b/>
          <w:sz w:val="26"/>
        </w:rPr>
        <w:t>3. 浙江上下游产业链动态</w:t>
      </w:r>
    </w:p>
    <w:p>
      <w:r>
        <w:rPr>
          <w:rFonts w:ascii="华文楷体" w:hAnsi="华文楷体"/>
          <w:sz w:val="24"/>
        </w:rPr>
        <w:t>杭州偏研发、整机、软件、算法、品牌和资本；宁波偏量产、材料、零部件、精密制造和场景验证。宇树宁波产业园总投资12.42亿元，占地116亩，建成后每月可量产500台行业应用机器人；宁波为其规划“技术研发—产业园量产—场景示范”全链条，并配套研究院、AI算力中心和产业基金。这类链主落地将带动结构件、电机、散热材料、检测认证、物流包装、园区服务等一批本地供应商。</w:t>
      </w:r>
    </w:p>
    <w:p>
      <w:r>
        <w:rPr>
          <w:rFonts w:ascii="华文楷体" w:hAnsi="华文楷体"/>
          <w:sz w:val="24"/>
        </w:rPr>
        <w:t>浙江本地产业链资金占用主要出现在三处：一是机器人和智能装备量产前的零部件备货；二是项目制装备交付到验收回款之间的账期；三是新材料企业扩产和客户认证期间的现金流压力。银行应优先围绕核心订单、票据、回款账户和真实贸易背景设计产品组合。</w:t>
      </w:r>
    </w:p>
    <w:p>
      <w:r>
        <w:rPr>
          <w:rFonts w:ascii="华文楷体" w:hAnsi="华文楷体"/>
          <w:b/>
          <w:sz w:val="26"/>
        </w:rPr>
        <w:t>4. 银行展业机会</w:t>
      </w:r>
    </w:p>
    <w:p>
      <w:r>
        <w:rPr>
          <w:rFonts w:ascii="华文楷体" w:hAnsi="华文楷体"/>
          <w:sz w:val="24"/>
        </w:rPr>
        <w:t>1. 围绕杭州具身智能链主企业，切入付融通、商票e贴、资产池、数字财资和跨境支付结算，重点解决量产供应链付款、票据和全球收付问题。</w:t>
      </w:r>
    </w:p>
    <w:p>
      <w:r>
        <w:rPr>
          <w:rFonts w:ascii="华文楷体" w:hAnsi="华文楷体"/>
          <w:sz w:val="24"/>
        </w:rPr>
        <w:t>2. 围绕宁波“人工智能+制造”政策项目，切入科技创新和技术更新改造再贷款、平安租赁、普惠金融科创贷，服务智能工厂、工业软件和设备更新。</w:t>
      </w:r>
    </w:p>
    <w:p>
      <w:r>
        <w:rPr>
          <w:rFonts w:ascii="华文楷体" w:hAnsi="华文楷体"/>
          <w:sz w:val="24"/>
        </w:rPr>
        <w:t>3. 围绕宁波智能装备与机器视觉企业，切入订单融资、国内信用证开证及融资、银票极速贴现和境内保函，解决项目交付期资金占用。</w:t>
      </w:r>
    </w:p>
    <w:p>
      <w:r>
        <w:rPr>
          <w:rFonts w:ascii="华文楷体" w:hAnsi="华文楷体"/>
          <w:sz w:val="24"/>
        </w:rPr>
        <w:t>4. 围绕新材料和核心零部件企业，切入短贷、普惠金融信用贷、银票贴现、慧收款和供应链金融，提升采购、生产和回款周转效率。</w:t>
      </w:r>
    </w:p>
    <w:p>
      <w:r>
        <w:rPr>
          <w:rFonts w:ascii="华文楷体" w:hAnsi="华文楷体"/>
          <w:sz w:val="24"/>
        </w:rPr>
        <w:t>5. 围绕上市辅导和拟IPO企业，提供数字财资、资产池、平安薪、资本市场融资和债券承销联动服务，提前建立主办行关系。</w:t>
      </w:r>
    </w:p>
    <w:p>
      <w:r>
        <w:rPr>
          <w:rFonts w:ascii="华文楷体" w:hAnsi="华文楷体"/>
          <w:b/>
          <w:sz w:val="30"/>
        </w:rPr>
        <w:t>三、重点企业推荐</w:t>
      </w:r>
    </w:p>
    <w:p>
      <w:r>
        <w:rPr>
          <w:rFonts w:ascii="华文楷体" w:hAnsi="华文楷体"/>
          <w:b/>
          <w:sz w:val="26"/>
        </w:rPr>
        <w:t>企业名称：宇树科技股份有限公司</w:t>
      </w:r>
    </w:p>
    <w:p>
      <w:r>
        <w:rPr>
          <w:rFonts w:ascii="华文楷体" w:hAnsi="华文楷体"/>
          <w:sz w:val="24"/>
        </w:rPr>
        <w:t>推荐等级： 高</w:t>
      </w:r>
    </w:p>
    <w:p>
      <w:r>
        <w:rPr>
          <w:rFonts w:ascii="华文楷体" w:hAnsi="华文楷体"/>
          <w:sz w:val="24"/>
        </w:rPr>
        <w:t>所属行业： 具身智能机器人、四足/人形机器人</w:t>
      </w:r>
    </w:p>
    <w:p>
      <w:r>
        <w:rPr>
          <w:rFonts w:ascii="华文楷体" w:hAnsi="华文楷体"/>
          <w:sz w:val="24"/>
        </w:rPr>
        <w:t>所在地区： 杭州；宁波有产业园布局</w:t>
      </w:r>
    </w:p>
    <w:p>
      <w:r>
        <w:rPr>
          <w:rFonts w:ascii="华文楷体" w:hAnsi="华文楷体"/>
          <w:sz w:val="24"/>
        </w:rPr>
        <w:t>产业链位置： 中游整机/平台型</w:t>
      </w:r>
    </w:p>
    <w:p>
      <w:r>
        <w:rPr>
          <w:rFonts w:ascii="华文楷体" w:hAnsi="华文楷体"/>
          <w:sz w:val="24"/>
        </w:rPr>
        <w:t>推荐方向： 流动资金、供应链金融、票据、现金管理、跨境结算、综合金融</w:t>
      </w:r>
    </w:p>
    <w:p>
      <w:r>
        <w:rPr>
          <w:rFonts w:ascii="华文楷体" w:hAnsi="华文楷体"/>
          <w:sz w:val="24"/>
        </w:rPr>
        <w:t>企业关键信息:</w:t>
      </w:r>
    </w:p>
    <w:p>
      <w:r>
        <w:rPr>
          <w:rFonts w:ascii="华文楷体" w:hAnsi="华文楷体"/>
          <w:sz w:val="24"/>
        </w:rPr>
        <w:t>基本情况: 公司专注消费级、行业级高性能通用足式/人形机器人及灵巧机械臂研发、生产和销售。公开报道显示，2025年营收17.08亿元、净利润2.88亿元，2025年前9个月人形机器人收入占比过半；宁波产业园总投资12.42亿元，建成后月产500台行业应用机器人。</w:t>
      </w:r>
    </w:p>
    <w:p>
      <w:r>
        <w:rPr>
          <w:rFonts w:ascii="华文楷体" w:hAnsi="华文楷体"/>
          <w:sz w:val="24"/>
        </w:rPr>
        <w:t>高层与团队背景: 公开信息显示创始人为王兴兴，研究生阶段已自主开发四足机器人；具体导师、CFO等信息未披露。</w:t>
      </w:r>
    </w:p>
    <w:p>
      <w:r>
        <w:rPr>
          <w:rFonts w:ascii="华文楷体" w:hAnsi="华文楷体"/>
          <w:sz w:val="24"/>
        </w:rPr>
        <w:t>银行关注点: 技术产品化和规模化出货能力较强，杭州研发与宁波量产协同明显，有望带动浙江机器人零部件、材料、检测和应用场景供应链。</w:t>
      </w:r>
    </w:p>
    <w:p>
      <w:r>
        <w:rPr>
          <w:rFonts w:ascii="华文楷体" w:hAnsi="华文楷体"/>
          <w:sz w:val="24"/>
        </w:rPr>
        <w:t>推荐理由:</w:t>
      </w:r>
    </w:p>
    <w:p>
      <w:r>
        <w:rPr>
          <w:rFonts w:ascii="华文楷体" w:hAnsi="华文楷体"/>
          <w:sz w:val="24"/>
        </w:rPr>
        <w:t>宇树处于杭州具身智能链主位置，营收和利润已进入可验证阶段。</w:t>
      </w:r>
    </w:p>
    <w:p>
      <w:r>
        <w:rPr>
          <w:rFonts w:ascii="华文楷体" w:hAnsi="华文楷体"/>
          <w:sz w:val="24"/>
        </w:rPr>
        <w:t>宁波产业园落地带来设备采购、供应商付款、园区结算和产能爬坡需求。</w:t>
      </w:r>
    </w:p>
    <w:p>
      <w:r>
        <w:rPr>
          <w:rFonts w:ascii="华文楷体" w:hAnsi="华文楷体"/>
          <w:sz w:val="24"/>
        </w:rPr>
        <w:t>人形机器人和行业应用机器人存在跨境销售和全球渠道机会，适合提前介入综合金融。</w:t>
      </w:r>
    </w:p>
    <w:p>
      <w:r>
        <w:rPr>
          <w:rFonts w:ascii="华文楷体" w:hAnsi="华文楷体"/>
          <w:sz w:val="24"/>
        </w:rPr>
        <w:t>银行展业机会:</w:t>
      </w:r>
    </w:p>
    <w:p>
      <w:r>
        <w:rPr>
          <w:rFonts w:ascii="华文楷体" w:hAnsi="华文楷体"/>
          <w:sz w:val="24"/>
        </w:rPr>
        <w:t>量产爬坡会增加零部件采购和供应商账期，适合用付融通、商票e贴、银票无感贴现做链主授信和供应商融资；产线建设和设备采购可匹配科技创新和技术更新改造再贷款、平安租赁；海外销售可配置跨境支付结算、跨境贸易金融、外币存款和平安避险。</w:t>
      </w:r>
    </w:p>
    <w:p>
      <w:r>
        <w:rPr>
          <w:rFonts w:ascii="华文楷体" w:hAnsi="华文楷体"/>
          <w:sz w:val="24"/>
        </w:rPr>
        <w:t>推荐产品组合:</w:t>
      </w:r>
    </w:p>
    <w:p>
      <w:r>
        <w:rPr>
          <w:rFonts w:ascii="华文楷体" w:hAnsi="华文楷体"/>
          <w:sz w:val="24"/>
        </w:rPr>
        <w:t>建议以付融通和商票e贴切入，解决企业量产阶段供应商付款与账期管理；配套科技创新和技术更新改造再贷款、平安租赁、资产池和跨境支付结算。额度、期限、费率待沟通。</w:t>
      </w:r>
    </w:p>
    <w:p>
      <w:r>
        <w:rPr>
          <w:rFonts w:ascii="华文楷体" w:hAnsi="华文楷体"/>
          <w:sz w:val="24"/>
        </w:rPr>
        <w:t>客户经理切入话术:</w:t>
      </w:r>
    </w:p>
    <w:p>
      <w:r>
        <w:rPr>
          <w:rFonts w:ascii="华文楷体" w:hAnsi="华文楷体"/>
          <w:sz w:val="24"/>
        </w:rPr>
        <w:t>“我们关注到宇树杭州研发和宁波量产正在同步推进，量产阶段最容易出现供应商付款、设备投入和跨境结算压力。我们可以先帮贵司梳理核心供应商、订单回款和设备采购计划，做一套供应链和现金管理方案。”</w:t>
      </w:r>
    </w:p>
    <w:p>
      <w:r>
        <w:rPr>
          <w:rFonts w:ascii="华文楷体" w:hAnsi="华文楷体"/>
          <w:sz w:val="24"/>
        </w:rPr>
        <w:t>风险提示:</w:t>
      </w:r>
    </w:p>
    <w:p>
      <w:r>
        <w:rPr>
          <w:rFonts w:ascii="华文楷体" w:hAnsi="华文楷体"/>
          <w:sz w:val="24"/>
        </w:rPr>
        <w:t>具身智能仍处商业化早期，需核实订单真实性、产能利用率、供应商集中度、海外收入占比、应收账款和研发投入压力。</w:t>
      </w:r>
    </w:p>
    <w:p>
      <w:r>
        <w:rPr>
          <w:rFonts w:ascii="华文楷体" w:hAnsi="华文楷体"/>
          <w:b/>
          <w:sz w:val="26"/>
        </w:rPr>
        <w:t>企业名称：杭州云深处科技股份有限公司</w:t>
      </w:r>
    </w:p>
    <w:p>
      <w:r>
        <w:rPr>
          <w:rFonts w:ascii="华文楷体" w:hAnsi="华文楷体"/>
          <w:sz w:val="24"/>
        </w:rPr>
        <w:t>推荐等级： 高</w:t>
      </w:r>
    </w:p>
    <w:p>
      <w:r>
        <w:rPr>
          <w:rFonts w:ascii="华文楷体" w:hAnsi="华文楷体"/>
          <w:sz w:val="24"/>
        </w:rPr>
        <w:t>所属行业： 四足机器人、轮足机器人、人形机器人</w:t>
      </w:r>
    </w:p>
    <w:p>
      <w:r>
        <w:rPr>
          <w:rFonts w:ascii="华文楷体" w:hAnsi="华文楷体"/>
          <w:sz w:val="24"/>
        </w:rPr>
        <w:t>所在地区： 杭州</w:t>
      </w:r>
    </w:p>
    <w:p>
      <w:r>
        <w:rPr>
          <w:rFonts w:ascii="华文楷体" w:hAnsi="华文楷体"/>
          <w:sz w:val="24"/>
        </w:rPr>
        <w:t>产业链位置： 中游整机/行业应用服务商</w:t>
      </w:r>
    </w:p>
    <w:p>
      <w:r>
        <w:rPr>
          <w:rFonts w:ascii="华文楷体" w:hAnsi="华文楷体"/>
          <w:sz w:val="24"/>
        </w:rPr>
        <w:t>推荐方向： IPO前综合金融、供应链金融、票据、现金管理、代发</w:t>
      </w:r>
    </w:p>
    <w:p>
      <w:r>
        <w:rPr>
          <w:rFonts w:ascii="华文楷体" w:hAnsi="华文楷体"/>
          <w:sz w:val="24"/>
        </w:rPr>
        <w:t>企业关键信息:</w:t>
      </w:r>
    </w:p>
    <w:p>
      <w:r>
        <w:rPr>
          <w:rFonts w:ascii="华文楷体" w:hAnsi="华文楷体"/>
          <w:sz w:val="24"/>
        </w:rPr>
        <w:t>基本情况: 公司成立于2017年，聚焦具身智能机器人行业应用。5月18日科创板IPO申请获受理，拟募资25.03亿元，投向具身算法及模型研发、机器人本体与解决方案研发、产业化和基地建设。2025年营收3.37亿元，净利润2868.4万元，综合毛利率52.83%。</w:t>
      </w:r>
    </w:p>
    <w:p>
      <w:r>
        <w:rPr>
          <w:rFonts w:ascii="华文楷体" w:hAnsi="华文楷体"/>
          <w:sz w:val="24"/>
        </w:rPr>
        <w:t>高层与团队背景: 公开报道显示，浙江大学控制科学与工程学院教师朱秋国与校友李超联合创立云深处；朱秋国为创始人，李超为联合创始人兼CTO；具体导师、CFO信息未披露。</w:t>
      </w:r>
    </w:p>
    <w:p>
      <w:r>
        <w:rPr>
          <w:rFonts w:ascii="华文楷体" w:hAnsi="华文楷体"/>
          <w:sz w:val="24"/>
        </w:rPr>
        <w:t>银行关注点: 行业应用收入占比较高，电力巡检、消防、工业巡检等场景可形成稳定To B回款，上市辅导期对资金规范和资本市场服务要求更高。</w:t>
      </w:r>
    </w:p>
    <w:p>
      <w:r>
        <w:rPr>
          <w:rFonts w:ascii="华文楷体" w:hAnsi="华文楷体"/>
          <w:sz w:val="24"/>
        </w:rPr>
        <w:t>推荐理由:</w:t>
      </w:r>
    </w:p>
    <w:p>
      <w:r>
        <w:rPr>
          <w:rFonts w:ascii="华文楷体" w:hAnsi="华文楷体"/>
          <w:sz w:val="24"/>
        </w:rPr>
        <w:t>云深处已证明四足机器人在To B工业场景具备收入闭环，2025年首次扭亏。</w:t>
      </w:r>
    </w:p>
    <w:p>
      <w:r>
        <w:rPr>
          <w:rFonts w:ascii="华文楷体" w:hAnsi="华文楷体"/>
          <w:sz w:val="24"/>
        </w:rPr>
        <w:t>IPO受理带来募投项目、资金归集、账户管理、代发和资本市场联动机会。</w:t>
      </w:r>
    </w:p>
    <w:p>
      <w:r>
        <w:rPr>
          <w:rFonts w:ascii="华文楷体" w:hAnsi="华文楷体"/>
          <w:sz w:val="24"/>
        </w:rPr>
        <w:t>电力、消防、工业巡检等客户回款相对可跟踪，适合订单和票据类产品切入。</w:t>
      </w:r>
    </w:p>
    <w:p>
      <w:r>
        <w:rPr>
          <w:rFonts w:ascii="华文楷体" w:hAnsi="华文楷体"/>
          <w:sz w:val="24"/>
        </w:rPr>
        <w:t>银行展业机会:</w:t>
      </w:r>
    </w:p>
    <w:p>
      <w:r>
        <w:rPr>
          <w:rFonts w:ascii="华文楷体" w:hAnsi="华文楷体"/>
          <w:sz w:val="24"/>
        </w:rPr>
        <w:t>上市阶段可切入数字财资、资产池、平安薪和资本市场融资；项目制订单可匹配订单融资、国内信用证开证及融资、商票贴现；核心零部件采购和供应商账期可做付融通或供应链金融。</w:t>
      </w:r>
    </w:p>
    <w:p>
      <w:r>
        <w:rPr>
          <w:rFonts w:ascii="华文楷体" w:hAnsi="华文楷体"/>
          <w:sz w:val="24"/>
        </w:rPr>
        <w:t>推荐产品组合:</w:t>
      </w:r>
    </w:p>
    <w:p>
      <w:r>
        <w:rPr>
          <w:rFonts w:ascii="华文楷体" w:hAnsi="华文楷体"/>
          <w:sz w:val="24"/>
        </w:rPr>
        <w:t>建议以数字财资和资产池作为主推，帮助企业规范多账户资金、票据和现金流管理；配套订单融资、商票贴现、平安薪及资本市场融资服务。额度、期限、费率待沟通。</w:t>
      </w:r>
    </w:p>
    <w:p>
      <w:r>
        <w:rPr>
          <w:rFonts w:ascii="华文楷体" w:hAnsi="华文楷体"/>
          <w:sz w:val="24"/>
        </w:rPr>
        <w:t>客户经理切入话术:</w:t>
      </w:r>
    </w:p>
    <w:p>
      <w:r>
        <w:rPr>
          <w:rFonts w:ascii="华文楷体" w:hAnsi="华文楷体"/>
          <w:sz w:val="24"/>
        </w:rPr>
        <w:t>“云深处进入IPO受理阶段后，资金归集、票据管理、供应链付款和员工薪酬都会更强调规范性。我们可以从资金管理和票据效率开始，先做一版上市阶段银行服务清单。”</w:t>
      </w:r>
    </w:p>
    <w:p>
      <w:r>
        <w:rPr>
          <w:rFonts w:ascii="华文楷体" w:hAnsi="华文楷体"/>
          <w:sz w:val="24"/>
        </w:rPr>
        <w:t>风险提示:</w:t>
      </w:r>
    </w:p>
    <w:p>
      <w:r>
        <w:rPr>
          <w:rFonts w:ascii="华文楷体" w:hAnsi="华文楷体"/>
          <w:sz w:val="24"/>
        </w:rPr>
        <w:t>人形机器人商业化仍处起步阶段，电力巡检客户和行业采购周期可能影响增速；需核实IPO进度、订单结构、应收账款账龄、研发费用和核心团队稳定性。</w:t>
      </w:r>
    </w:p>
    <w:p>
      <w:r>
        <w:rPr>
          <w:rFonts w:ascii="华文楷体" w:hAnsi="华文楷体"/>
          <w:b/>
          <w:sz w:val="26"/>
        </w:rPr>
        <w:t>企业名称：宁波中亿智能股份有限公司</w:t>
      </w:r>
    </w:p>
    <w:p>
      <w:r>
        <w:rPr>
          <w:rFonts w:ascii="华文楷体" w:hAnsi="华文楷体"/>
          <w:sz w:val="24"/>
        </w:rPr>
        <w:t>推荐等级： 高</w:t>
      </w:r>
    </w:p>
    <w:p>
      <w:r>
        <w:rPr>
          <w:rFonts w:ascii="华文楷体" w:hAnsi="华文楷体"/>
          <w:sz w:val="24"/>
        </w:rPr>
        <w:t>所属行业： 机器视觉、AI智能质检、高端轴承装配检测装备</w:t>
      </w:r>
    </w:p>
    <w:p>
      <w:r>
        <w:rPr>
          <w:rFonts w:ascii="华文楷体" w:hAnsi="华文楷体"/>
          <w:sz w:val="24"/>
        </w:rPr>
        <w:t>所在地区： 宁波</w:t>
      </w:r>
    </w:p>
    <w:p>
      <w:r>
        <w:rPr>
          <w:rFonts w:ascii="华文楷体" w:hAnsi="华文楷体"/>
          <w:sz w:val="24"/>
        </w:rPr>
        <w:t>产业链位置： 中游智能装备/系统集成</w:t>
      </w:r>
    </w:p>
    <w:p>
      <w:r>
        <w:rPr>
          <w:rFonts w:ascii="华文楷体" w:hAnsi="华文楷体"/>
          <w:sz w:val="24"/>
        </w:rPr>
        <w:t>推荐方向： 项目融资、订单融资、票据、现金管理、供应链金融</w:t>
      </w:r>
    </w:p>
    <w:p>
      <w:r>
        <w:rPr>
          <w:rFonts w:ascii="华文楷体" w:hAnsi="华文楷体"/>
          <w:sz w:val="24"/>
        </w:rPr>
        <w:t>企业关键信息:</w:t>
      </w:r>
    </w:p>
    <w:p>
      <w:r>
        <w:rPr>
          <w:rFonts w:ascii="华文楷体" w:hAnsi="华文楷体"/>
          <w:sz w:val="24"/>
        </w:rPr>
        <w:t>基本情况: 公司自主研发AI智能外观检测装备，检测精度达到一微米以内，每秒可检测接近20个产品；“中亿二代”100型高端轴承装配检测智能装备获评国内首台套产品，与全国300多家客户共建云端大数据库。</w:t>
      </w:r>
    </w:p>
    <w:p>
      <w:r>
        <w:rPr>
          <w:rFonts w:ascii="华文楷体" w:hAnsi="华文楷体"/>
          <w:sz w:val="24"/>
        </w:rPr>
        <w:t>高层与团队背景: 公开报道披露董事长刘建军；教育背景、导师、CFO及核心技术团队信息未披露。</w:t>
      </w:r>
    </w:p>
    <w:p>
      <w:r>
        <w:rPr>
          <w:rFonts w:ascii="华文楷体" w:hAnsi="华文楷体"/>
          <w:sz w:val="24"/>
        </w:rPr>
        <w:t>银行关注点: 公司处于机器视觉和高端轴承检测关键环节，客户数据库和首台套产品有助于验证技术壁垒，适合围绕订单与回款账户授信。</w:t>
      </w:r>
    </w:p>
    <w:p>
      <w:r>
        <w:rPr>
          <w:rFonts w:ascii="华文楷体" w:hAnsi="华文楷体"/>
          <w:sz w:val="24"/>
        </w:rPr>
        <w:t>推荐理由:</w:t>
      </w:r>
    </w:p>
    <w:p>
      <w:r>
        <w:rPr>
          <w:rFonts w:ascii="华文楷体" w:hAnsi="华文楷体"/>
          <w:sz w:val="24"/>
        </w:rPr>
        <w:t>AI质检是“人工智能+制造”最先落地的场景之一，宁波制造业基础提供本地客户和样本数据。</w:t>
      </w:r>
    </w:p>
    <w:p>
      <w:r>
        <w:rPr>
          <w:rFonts w:ascii="华文楷体" w:hAnsi="华文楷体"/>
          <w:sz w:val="24"/>
        </w:rPr>
        <w:t>高端轴承检测装备与精密制造、汽车零部件链条契合度高。</w:t>
      </w:r>
    </w:p>
    <w:p>
      <w:r>
        <w:rPr>
          <w:rFonts w:ascii="华文楷体" w:hAnsi="华文楷体"/>
          <w:sz w:val="24"/>
        </w:rPr>
        <w:t>项目交付、验收回款和设备研发会带来营运资金占用。</w:t>
      </w:r>
    </w:p>
    <w:p>
      <w:r>
        <w:rPr>
          <w:rFonts w:ascii="华文楷体" w:hAnsi="华文楷体"/>
          <w:sz w:val="24"/>
        </w:rPr>
        <w:t>银行展业机会:</w:t>
      </w:r>
    </w:p>
    <w:p>
      <w:r>
        <w:rPr>
          <w:rFonts w:ascii="华文楷体" w:hAnsi="华文楷体"/>
          <w:sz w:val="24"/>
        </w:rPr>
        <w:t>围绕客户订单与验收回款，可切入订单融资、国内信用证开证及融资、银票极速贴现；围绕研发和产能提升，可匹配普惠金融科创贷或科技创新和技术更新改造再贷款；围绕大客户应收账款，可评估付融通或保理。</w:t>
      </w:r>
    </w:p>
    <w:p>
      <w:r>
        <w:rPr>
          <w:rFonts w:ascii="华文楷体" w:hAnsi="华文楷体"/>
          <w:sz w:val="24"/>
        </w:rPr>
        <w:t>推荐产品组合:</w:t>
      </w:r>
    </w:p>
    <w:p>
      <w:r>
        <w:rPr>
          <w:rFonts w:ascii="华文楷体" w:hAnsi="华文楷体"/>
          <w:sz w:val="24"/>
        </w:rPr>
        <w:t>建议以订单融资作为主推，解决项目交付期的备货与生产资金占用；配套银票极速贴现、国内信用证开证及融资、普惠金融科创贷。额度、期限、费率待沟通。</w:t>
      </w:r>
    </w:p>
    <w:p>
      <w:r>
        <w:rPr>
          <w:rFonts w:ascii="华文楷体" w:hAnsi="华文楷体"/>
          <w:sz w:val="24"/>
        </w:rPr>
        <w:t>客户经理切入话术:</w:t>
      </w:r>
    </w:p>
    <w:p>
      <w:r>
        <w:rPr>
          <w:rFonts w:ascii="华文楷体" w:hAnsi="华文楷体"/>
          <w:sz w:val="24"/>
        </w:rPr>
        <w:t>“贵司设备进入高端轴承检测场景，项目交付和验收回款周期可能带来阶段性资金占用。我们可以基于订单、合同和回款路径，设计订单融资加票据周转方案。”</w:t>
      </w:r>
    </w:p>
    <w:p>
      <w:r>
        <w:rPr>
          <w:rFonts w:ascii="华文楷体" w:hAnsi="华文楷体"/>
          <w:sz w:val="24"/>
        </w:rPr>
        <w:t>风险提示:</w:t>
      </w:r>
    </w:p>
    <w:p>
      <w:r>
        <w:rPr>
          <w:rFonts w:ascii="华文楷体" w:hAnsi="华文楷体"/>
          <w:sz w:val="24"/>
        </w:rPr>
        <w:t>需核实客户集中度、订单验收周期、应收账款账龄、知识产权归属、设备售后责任和核心团队稳定性。</w:t>
      </w:r>
    </w:p>
    <w:p>
      <w:r>
        <w:rPr>
          <w:rFonts w:ascii="华文楷体" w:hAnsi="华文楷体"/>
          <w:b/>
          <w:sz w:val="26"/>
        </w:rPr>
        <w:t>企业名称：浙江柔荷新能源材料有限公司</w:t>
      </w:r>
    </w:p>
    <w:p>
      <w:r>
        <w:rPr>
          <w:rFonts w:ascii="华文楷体" w:hAnsi="华文楷体"/>
          <w:sz w:val="24"/>
        </w:rPr>
        <w:t>推荐等级： 中高</w:t>
      </w:r>
    </w:p>
    <w:p>
      <w:r>
        <w:rPr>
          <w:rFonts w:ascii="华文楷体" w:hAnsi="华文楷体"/>
          <w:sz w:val="24"/>
        </w:rPr>
        <w:t>所属行业： 新能源材料、电池热防护、陶瓷纳米纤维气凝胶</w:t>
      </w:r>
    </w:p>
    <w:p>
      <w:r>
        <w:rPr>
          <w:rFonts w:ascii="华文楷体" w:hAnsi="华文楷体"/>
          <w:sz w:val="24"/>
        </w:rPr>
        <w:t>所在地区： 宁波</w:t>
      </w:r>
    </w:p>
    <w:p>
      <w:r>
        <w:rPr>
          <w:rFonts w:ascii="华文楷体" w:hAnsi="华文楷体"/>
          <w:sz w:val="24"/>
        </w:rPr>
        <w:t>产业链位置： 上游材料</w:t>
      </w:r>
    </w:p>
    <w:p>
      <w:r>
        <w:rPr>
          <w:rFonts w:ascii="华文楷体" w:hAnsi="华文楷体"/>
          <w:sz w:val="24"/>
        </w:rPr>
        <w:t>推荐方向： 技改融资、设备融资、供应链金融、现金管理</w:t>
      </w:r>
    </w:p>
    <w:p>
      <w:r>
        <w:rPr>
          <w:rFonts w:ascii="华文楷体" w:hAnsi="华文楷体"/>
          <w:sz w:val="24"/>
        </w:rPr>
        <w:t>企业关键信息:</w:t>
      </w:r>
    </w:p>
    <w:p>
      <w:r>
        <w:rPr>
          <w:rFonts w:ascii="华文楷体" w:hAnsi="华文楷体"/>
          <w:sz w:val="24"/>
        </w:rPr>
        <w:t>基本情况: 公司成立于2024年，已实现陶瓷纳米纤维气凝胶全流程智能化量产，拥有4条自主研发生产线和独有材料配方，产品用于电池组热防护，并瞄准固态电池电解质膜等方向。</w:t>
      </w:r>
    </w:p>
    <w:p>
      <w:r>
        <w:rPr>
          <w:rFonts w:ascii="华文楷体" w:hAnsi="华文楷体"/>
          <w:sz w:val="24"/>
        </w:rPr>
        <w:t>高层与团队背景: 公开报道披露董事长闫建华；教育背景、导师、CFO和核心技术团队信息未披露。</w:t>
      </w:r>
    </w:p>
    <w:p>
      <w:r>
        <w:rPr>
          <w:rFonts w:ascii="华文楷体" w:hAnsi="华文楷体"/>
          <w:sz w:val="24"/>
        </w:rPr>
        <w:t>银行关注点: 企业处早期量产阶段，技术壁垒、客户认证和产线稳定性是授信判断核心。</w:t>
      </w:r>
    </w:p>
    <w:p>
      <w:r>
        <w:rPr>
          <w:rFonts w:ascii="华文楷体" w:hAnsi="华文楷体"/>
          <w:sz w:val="24"/>
        </w:rPr>
        <w:t>推荐理由:</w:t>
      </w:r>
    </w:p>
    <w:p>
      <w:r>
        <w:rPr>
          <w:rFonts w:ascii="华文楷体" w:hAnsi="华文楷体"/>
          <w:sz w:val="24"/>
        </w:rPr>
        <w:t>电池安全、固态电池材料和隔热防护是新能源产业链长期需求。</w:t>
      </w:r>
    </w:p>
    <w:p>
      <w:r>
        <w:rPr>
          <w:rFonts w:ascii="华文楷体" w:hAnsi="华文楷体"/>
          <w:sz w:val="24"/>
        </w:rPr>
        <w:t>企业已有智能化产线，并与车企、电池厂商合作信号明确。</w:t>
      </w:r>
    </w:p>
    <w:p>
      <w:r>
        <w:rPr>
          <w:rFonts w:ascii="华文楷体" w:hAnsi="华文楷体"/>
          <w:sz w:val="24"/>
        </w:rPr>
        <w:t>早期成长企业对设备、原材料、研发和订单周转资金需求较强。</w:t>
      </w:r>
    </w:p>
    <w:p>
      <w:r>
        <w:rPr>
          <w:rFonts w:ascii="华文楷体" w:hAnsi="华文楷体"/>
          <w:sz w:val="24"/>
        </w:rPr>
        <w:t>银行展业机会:</w:t>
      </w:r>
    </w:p>
    <w:p>
      <w:r>
        <w:rPr>
          <w:rFonts w:ascii="华文楷体" w:hAnsi="华文楷体"/>
          <w:sz w:val="24"/>
        </w:rPr>
        <w:t>产线扩建与设备投入可匹配科技创新和技术更新改造再贷款、平安租赁；原材料采购和订单交付可匹配短贷、普惠金融科创贷、银票贴现；若进入核心客户供应链，可进一步做付融通或保理。</w:t>
      </w:r>
    </w:p>
    <w:p>
      <w:r>
        <w:rPr>
          <w:rFonts w:ascii="华文楷体" w:hAnsi="华文楷体"/>
          <w:sz w:val="24"/>
        </w:rPr>
        <w:t>推荐产品组合:</w:t>
      </w:r>
    </w:p>
    <w:p>
      <w:r>
        <w:rPr>
          <w:rFonts w:ascii="华文楷体" w:hAnsi="华文楷体"/>
          <w:sz w:val="24"/>
        </w:rPr>
        <w:t>建议以普惠金融科创贷和科技创新和技术更新改造再贷款切入，支持企业研发与产线投入；配套平安租赁、银票贴现和慧收款。额度、期限、费率待沟通。</w:t>
      </w:r>
    </w:p>
    <w:p>
      <w:r>
        <w:rPr>
          <w:rFonts w:ascii="华文楷体" w:hAnsi="华文楷体"/>
          <w:sz w:val="24"/>
        </w:rPr>
        <w:t>客户经理切入话术:</w:t>
      </w:r>
    </w:p>
    <w:p>
      <w:r>
        <w:rPr>
          <w:rFonts w:ascii="华文楷体" w:hAnsi="华文楷体"/>
          <w:sz w:val="24"/>
        </w:rPr>
        <w:t>“柔荷的材料已经进入电池热防护和固态电池相关方向，成长阶段资金主要卡在产线、原材料和客户账期。我们可以先看现有产线、订单和客户付款条件，匹配科创贷加设备融资方案。”</w:t>
      </w:r>
    </w:p>
    <w:p>
      <w:r>
        <w:rPr>
          <w:rFonts w:ascii="华文楷体" w:hAnsi="华文楷体"/>
          <w:sz w:val="24"/>
        </w:rPr>
        <w:t>风险提示:</w:t>
      </w:r>
    </w:p>
    <w:p>
      <w:r>
        <w:rPr>
          <w:rFonts w:ascii="华文楷体" w:hAnsi="华文楷体"/>
          <w:sz w:val="24"/>
        </w:rPr>
        <w:t>公司成立时间较短，需核实量产稳定性、客户认证进度、订单合同、知识产权、现金流和股东支持能力。</w:t>
      </w:r>
    </w:p>
    <w:p>
      <w:r>
        <w:rPr>
          <w:rFonts w:ascii="华文楷体" w:hAnsi="华文楷体"/>
          <w:b/>
          <w:sz w:val="26"/>
        </w:rPr>
        <w:t>企业名称：宁波瑞凌新能源科技有限公司</w:t>
      </w:r>
    </w:p>
    <w:p>
      <w:r>
        <w:rPr>
          <w:rFonts w:ascii="华文楷体" w:hAnsi="华文楷体"/>
          <w:sz w:val="24"/>
        </w:rPr>
        <w:t>推荐等级： 中高</w:t>
      </w:r>
    </w:p>
    <w:p>
      <w:r>
        <w:rPr>
          <w:rFonts w:ascii="华文楷体" w:hAnsi="华文楷体"/>
          <w:sz w:val="24"/>
        </w:rPr>
        <w:t>所属行业： 辐射制冷材料、超材料、新能源节能材料</w:t>
      </w:r>
    </w:p>
    <w:p>
      <w:r>
        <w:rPr>
          <w:rFonts w:ascii="华文楷体" w:hAnsi="华文楷体"/>
          <w:sz w:val="24"/>
        </w:rPr>
        <w:t>所在地区： 宁波</w:t>
      </w:r>
    </w:p>
    <w:p>
      <w:r>
        <w:rPr>
          <w:rFonts w:ascii="华文楷体" w:hAnsi="华文楷体"/>
          <w:sz w:val="24"/>
        </w:rPr>
        <w:t>产业链位置： 上游材料/应用方案商</w:t>
      </w:r>
    </w:p>
    <w:p>
      <w:r>
        <w:rPr>
          <w:rFonts w:ascii="华文楷体" w:hAnsi="华文楷体"/>
          <w:sz w:val="24"/>
        </w:rPr>
        <w:t>推荐方向： 项目融资、供应链金融、跨行业场景拓展、现金管理</w:t>
      </w:r>
    </w:p>
    <w:p>
      <w:r>
        <w:rPr>
          <w:rFonts w:ascii="华文楷体" w:hAnsi="华文楷体"/>
          <w:sz w:val="24"/>
        </w:rPr>
        <w:t>企业关键信息:</w:t>
      </w:r>
    </w:p>
    <w:p>
      <w:r>
        <w:rPr>
          <w:rFonts w:ascii="华文楷体" w:hAnsi="华文楷体"/>
          <w:sz w:val="24"/>
        </w:rPr>
        <w:t>基本情况: 公司建设奉化辐射制冷超材料生产基地，产品用于建筑外墙、机场廊桥、粮仓、设备柜等降温场景。本周公开报道显示，公司与宇树机器人硬件平台结构组推进辐射制冷材料在防爆特种机器人领域的应用测试。</w:t>
      </w:r>
    </w:p>
    <w:p>
      <w:r>
        <w:rPr>
          <w:rFonts w:ascii="华文楷体" w:hAnsi="华文楷体"/>
          <w:sz w:val="24"/>
        </w:rPr>
        <w:t>高层与团队背景: 公开报道披露副总裁刘丰维；实际控制人、董事长、CFO和核心团队教育背景未披露。</w:t>
      </w:r>
    </w:p>
    <w:p>
      <w:r>
        <w:rPr>
          <w:rFonts w:ascii="华文楷体" w:hAnsi="华文楷体"/>
          <w:sz w:val="24"/>
        </w:rPr>
        <w:t>银行关注点: 材料从建筑节能向机器人散热、防爆特种场景延伸，应用边界扩大，若进入宇树供应链将形成更清晰贸易背景。</w:t>
      </w:r>
    </w:p>
    <w:p>
      <w:r>
        <w:rPr>
          <w:rFonts w:ascii="华文楷体" w:hAnsi="华文楷体"/>
          <w:sz w:val="24"/>
        </w:rPr>
        <w:t>推荐理由:</w:t>
      </w:r>
    </w:p>
    <w:p>
      <w:r>
        <w:rPr>
          <w:rFonts w:ascii="华文楷体" w:hAnsi="华文楷体"/>
          <w:sz w:val="24"/>
        </w:rPr>
        <w:t>辐射制冷材料符合绿色制造、节能降耗和设备散热方向。</w:t>
      </w:r>
    </w:p>
    <w:p>
      <w:r>
        <w:rPr>
          <w:rFonts w:ascii="华文楷体" w:hAnsi="华文楷体"/>
          <w:sz w:val="24"/>
        </w:rPr>
        <w:t>与宇树硬件平台对接增强其在机器人产业链的潜在应用价值。</w:t>
      </w:r>
    </w:p>
    <w:p>
      <w:r>
        <w:rPr>
          <w:rFonts w:ascii="华文楷体" w:hAnsi="华文楷体"/>
          <w:sz w:val="24"/>
        </w:rPr>
        <w:t>项目应用场景多，容易形成合同交付、原材料采购和应收账款需求。</w:t>
      </w:r>
    </w:p>
    <w:p>
      <w:r>
        <w:rPr>
          <w:rFonts w:ascii="华文楷体" w:hAnsi="华文楷体"/>
          <w:sz w:val="24"/>
        </w:rPr>
        <w:t>银行展业机会:</w:t>
      </w:r>
    </w:p>
    <w:p>
      <w:r>
        <w:rPr>
          <w:rFonts w:ascii="华文楷体" w:hAnsi="华文楷体"/>
          <w:sz w:val="24"/>
        </w:rPr>
        <w:t>围绕宇树等核心客户测试和订单转化，可跟进付融通、订单融资和银票贴现；围绕生产基地和产线设备，可匹配平安租赁、普惠金融科创贷；围绕多场景项目回款，可配置慧收款和资产池。</w:t>
      </w:r>
    </w:p>
    <w:p>
      <w:r>
        <w:rPr>
          <w:rFonts w:ascii="华文楷体" w:hAnsi="华文楷体"/>
          <w:sz w:val="24"/>
        </w:rPr>
        <w:t>推荐产品组合:</w:t>
      </w:r>
    </w:p>
    <w:p>
      <w:r>
        <w:rPr>
          <w:rFonts w:ascii="华文楷体" w:hAnsi="华文楷体"/>
          <w:sz w:val="24"/>
        </w:rPr>
        <w:t>建议以订单融资和普惠金融科创贷切入，解决项目验证到批量交付阶段的资金占用；配套银票贴现、平安租赁、慧收款。额度、期限、费率待沟通。</w:t>
      </w:r>
    </w:p>
    <w:p>
      <w:r>
        <w:rPr>
          <w:rFonts w:ascii="华文楷体" w:hAnsi="华文楷体"/>
          <w:sz w:val="24"/>
        </w:rPr>
        <w:t>客户经理切入话术:</w:t>
      </w:r>
    </w:p>
    <w:p>
      <w:r>
        <w:rPr>
          <w:rFonts w:ascii="华文楷体" w:hAnsi="华文楷体"/>
          <w:sz w:val="24"/>
        </w:rPr>
        <w:t>“瑞凌材料从建筑节能延伸到机器人散热场景，如果与宇树的测试推进到订单阶段，原材料采购和交付账期会同步增加。我们可以提前基于测试项目和潜在合同设计融资及回款管理方案。”</w:t>
      </w:r>
    </w:p>
    <w:p>
      <w:r>
        <w:rPr>
          <w:rFonts w:ascii="华文楷体" w:hAnsi="华文楷体"/>
          <w:sz w:val="24"/>
        </w:rPr>
        <w:t>风险提示:</w:t>
      </w:r>
    </w:p>
    <w:p>
      <w:r>
        <w:rPr>
          <w:rFonts w:ascii="华文楷体" w:hAnsi="华文楷体"/>
          <w:sz w:val="24"/>
        </w:rPr>
        <w:t>新材料跨场景应用验证周期较长，需核实测试结果、客户订单、知识产权、产线良率、应收账款和现金流稳定性。</w:t>
      </w:r>
    </w:p>
    <w:p>
      <w:r>
        <w:rPr>
          <w:rFonts w:ascii="华文楷体" w:hAnsi="华文楷体"/>
          <w:b/>
          <w:sz w:val="26"/>
        </w:rPr>
        <w:t>企业名称：宁波昂霖智能装备有限公司</w:t>
      </w:r>
    </w:p>
    <w:p>
      <w:r>
        <w:rPr>
          <w:rFonts w:ascii="华文楷体" w:hAnsi="华文楷体"/>
          <w:sz w:val="24"/>
        </w:rPr>
        <w:t>推荐等级： 中</w:t>
      </w:r>
    </w:p>
    <w:p>
      <w:r>
        <w:rPr>
          <w:rFonts w:ascii="华文楷体" w:hAnsi="华文楷体"/>
          <w:sz w:val="24"/>
        </w:rPr>
        <w:t>所属行业： 智慧交通、AGV/移动机器人、智能预警装备</w:t>
      </w:r>
    </w:p>
    <w:p>
      <w:r>
        <w:rPr>
          <w:rFonts w:ascii="华文楷体" w:hAnsi="华文楷体"/>
          <w:sz w:val="24"/>
        </w:rPr>
        <w:t>所在地区： 宁波</w:t>
      </w:r>
    </w:p>
    <w:p>
      <w:r>
        <w:rPr>
          <w:rFonts w:ascii="华文楷体" w:hAnsi="华文楷体"/>
          <w:sz w:val="24"/>
        </w:rPr>
        <w:t>产业链位置： 中游智能装备/应用方案商</w:t>
      </w:r>
    </w:p>
    <w:p>
      <w:r>
        <w:rPr>
          <w:rFonts w:ascii="华文楷体" w:hAnsi="华文楷体"/>
          <w:sz w:val="24"/>
        </w:rPr>
        <w:t>推荐方向： 订单融资、政府/交通项目回款、票据、现金管理</w:t>
      </w:r>
    </w:p>
    <w:p>
      <w:r>
        <w:rPr>
          <w:rFonts w:ascii="华文楷体" w:hAnsi="华文楷体"/>
          <w:sz w:val="24"/>
        </w:rPr>
        <w:t>企业关键信息:</w:t>
      </w:r>
    </w:p>
    <w:p>
      <w:r>
        <w:rPr>
          <w:rFonts w:ascii="华文楷体" w:hAnsi="华文楷体"/>
          <w:sz w:val="24"/>
        </w:rPr>
        <w:t>基本情况: 公司研发生产“云预警机器人”和智能交通锥“自行锥”，产品使用AGV底盘，可在高速公路事故或封道场景中自主移动、声光预警并回传信息。公开报道显示，2026年5月“自行锥”在杭州千岛湖大桥潮汐车道项目使用。</w:t>
      </w:r>
    </w:p>
    <w:p>
      <w:r>
        <w:rPr>
          <w:rFonts w:ascii="华文楷体" w:hAnsi="华文楷体"/>
          <w:sz w:val="24"/>
        </w:rPr>
        <w:t>高层与团队背景: 公开报道披露总经理于显超；董事长、实际控制人、教育背景、导师及CFO信息未披露。</w:t>
      </w:r>
    </w:p>
    <w:p>
      <w:r>
        <w:rPr>
          <w:rFonts w:ascii="华文楷体" w:hAnsi="华文楷体"/>
          <w:sz w:val="24"/>
        </w:rPr>
        <w:t>银行关注点: 产品切入智慧交通应急安全场景，订单可能来自交通管理、路桥运营和工程项目，需重点核实合同、验收、财政或业主回款路径。</w:t>
      </w:r>
    </w:p>
    <w:p>
      <w:r>
        <w:rPr>
          <w:rFonts w:ascii="华文楷体" w:hAnsi="华文楷体"/>
          <w:sz w:val="24"/>
        </w:rPr>
        <w:t>推荐理由:</w:t>
      </w:r>
    </w:p>
    <w:p>
      <w:r>
        <w:rPr>
          <w:rFonts w:ascii="华文楷体" w:hAnsi="华文楷体"/>
          <w:sz w:val="24"/>
        </w:rPr>
        <w:t>高速公路、潮汐车道、事故预警等场景刚需明确，安全价值高。</w:t>
      </w:r>
    </w:p>
    <w:p>
      <w:r>
        <w:rPr>
          <w:rFonts w:ascii="华文楷体" w:hAnsi="华文楷体"/>
          <w:sz w:val="24"/>
        </w:rPr>
        <w:t>产品以AGV底盘为核心，符合移动机器人在特种交通场景落地趋势。</w:t>
      </w:r>
    </w:p>
    <w:p>
      <w:r>
        <w:rPr>
          <w:rFonts w:ascii="华文楷体" w:hAnsi="华文楷体"/>
          <w:sz w:val="24"/>
        </w:rPr>
        <w:t>项目制交付会形成设备生产、备货和验收回款资金占用。</w:t>
      </w:r>
    </w:p>
    <w:p>
      <w:r>
        <w:rPr>
          <w:rFonts w:ascii="华文楷体" w:hAnsi="华文楷体"/>
          <w:sz w:val="24"/>
        </w:rPr>
        <w:t>银行展业机会:</w:t>
      </w:r>
    </w:p>
    <w:p>
      <w:r>
        <w:rPr>
          <w:rFonts w:ascii="华文楷体" w:hAnsi="华文楷体"/>
          <w:sz w:val="24"/>
        </w:rPr>
        <w:t>围绕项目合同、验收节点和回款账户，可切入订单融资、国内信用证开证及融资、境内保函和银票贴现；若形成核心业主稳定采购，可进一步做供应链金融和慧收款。</w:t>
      </w:r>
    </w:p>
    <w:p>
      <w:r>
        <w:rPr>
          <w:rFonts w:ascii="华文楷体" w:hAnsi="华文楷体"/>
          <w:sz w:val="24"/>
        </w:rPr>
        <w:t>推荐产品组合:</w:t>
      </w:r>
    </w:p>
    <w:p>
      <w:r>
        <w:rPr>
          <w:rFonts w:ascii="华文楷体" w:hAnsi="华文楷体"/>
          <w:sz w:val="24"/>
        </w:rPr>
        <w:t>建议以订单融资为主推，解决交通项目交付前的备货和生产资金；配套境内保函、银票极速贴现和慧收款。额度、期限、费率待沟通。</w:t>
      </w:r>
    </w:p>
    <w:p>
      <w:r>
        <w:rPr>
          <w:rFonts w:ascii="华文楷体" w:hAnsi="华文楷体"/>
          <w:sz w:val="24"/>
        </w:rPr>
        <w:t>客户经理切入话术:</w:t>
      </w:r>
    </w:p>
    <w:p>
      <w:r>
        <w:rPr>
          <w:rFonts w:ascii="华文楷体" w:hAnsi="华文楷体"/>
          <w:sz w:val="24"/>
        </w:rPr>
        <w:t>“昂霖的自行锥已经进入交通安全真实场景，项目从生产到验收回款之间会有资金占用。我们可以基于合同、验收节点和回款账户，先做一套订单融资和保函方案。”</w:t>
      </w:r>
    </w:p>
    <w:p>
      <w:r>
        <w:rPr>
          <w:rFonts w:ascii="华文楷体" w:hAnsi="华文楷体"/>
          <w:sz w:val="24"/>
        </w:rPr>
        <w:t>风险提示:</w:t>
      </w:r>
    </w:p>
    <w:p>
      <w:r>
        <w:rPr>
          <w:rFonts w:ascii="华文楷体" w:hAnsi="华文楷体"/>
          <w:sz w:val="24"/>
        </w:rPr>
        <w:t>需核实项目持续性、政府或业主付款周期、产品售后责任、应收账款账龄和核心零部件供应稳定性。</w:t>
      </w:r>
    </w:p>
    <w:p>
      <w:r>
        <w:rPr>
          <w:rFonts w:ascii="华文楷体" w:hAnsi="华文楷体"/>
          <w:b/>
          <w:sz w:val="30"/>
        </w:rPr>
        <w:t>四、客户经理行动建议</w:t>
      </w:r>
    </w:p>
    <w:p>
      <w:r>
        <w:rPr>
          <w:rFonts w:ascii="华文楷体" w:hAnsi="华文楷体"/>
          <w:sz w:val="24"/>
        </w:rPr>
        <w:t>1. 本周优先拜访宇树科技股份有限公司和杭州云深处科技股份有限公司，从IPO/拟IPO阶段的资金归集、票据管理、供应链付款、设备投入和跨境收付切入，准备数字财资、资产池、付融通、商票e贴、平安薪和资本市场联动方案。</w:t>
      </w:r>
    </w:p>
    <w:p>
      <w:r>
        <w:rPr>
          <w:rFonts w:ascii="华文楷体" w:hAnsi="华文楷体"/>
          <w:sz w:val="24"/>
        </w:rPr>
        <w:t>2. 宁波区域优先扫客宁波中亿智能股份有限公司、浙江柔荷新能源材料有限公司、宁波瑞凌新能源科技有限公司、宁波昂霖智能装备有限公司，从订单、设备、材料采购和项目验收回款切入，准备订单融资、普惠金融科创贷、科技创新和技术更新改造再贷款、平安租赁和银票贴现方案。</w:t>
      </w:r>
    </w:p>
    <w:p>
      <w:r>
        <w:rPr>
          <w:rFonts w:ascii="华文楷体" w:hAnsi="华文楷体"/>
          <w:sz w:val="24"/>
        </w:rPr>
        <w:t>3. 围绕宁波“人工智能+制造”行动方案，建立“20个工业垂类大模型、100个场景项目、10家具身智能进工厂案例”潜在客户清单，联动产品经理提前设计智能工厂改造融资模板。</w:t>
      </w:r>
    </w:p>
    <w:p>
      <w:r>
        <w:rPr>
          <w:rFonts w:ascii="华文楷体" w:hAnsi="华文楷体"/>
          <w:sz w:val="24"/>
        </w:rPr>
        <w:t>4. 对具身智能企业授信不要只看估值，拜访时必须追问三件事：真实订单和客户名单、供应商付款节奏、应收账款和验收周期；能锁定回款账户的优先推进。</w:t>
      </w:r>
    </w:p>
    <w:p>
      <w:r>
        <w:rPr>
          <w:rFonts w:ascii="华文楷体" w:hAnsi="华文楷体"/>
          <w:sz w:val="24"/>
        </w:rPr>
        <w:t>5. 对新材料和机器视觉企业，优先核实是否进入车企、电池厂、轴承厂、机器人链主供应链；若已进入，按“核心客户订单—应收账款—票据—回款账户”设计综合方案。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sz w:val="24"/>
    </w:rPr>
  </w:style>
  <w:style w:type="character" w:customStyle="1" w:styleId="HeaderChar">
    <w:name w:val="Header Char"/>
    <w:basedOn w:val="DefaultParagraphFont"/>
    <w:link w:val="Header"/>
    <w:uiPriority w:val="99"/>
    <w:rsid w:val="00E618BF"/>
    <w:rPr>
      <w:rFonts w:ascii="华文楷体" w:hAnsi="华文楷体"/>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sz w:val="24"/>
    </w:rPr>
  </w:style>
  <w:style w:type="character" w:customStyle="1" w:styleId="FooterChar">
    <w:name w:val="Footer Char"/>
    <w:basedOn w:val="DefaultParagraphFont"/>
    <w:link w:val="Footer"/>
    <w:uiPriority w:val="99"/>
    <w:rsid w:val="00E618BF"/>
    <w:rPr>
      <w:rFonts w:ascii="华文楷体" w:hAnsi="华文楷体"/>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i/>
      <w:iCs/>
      <w:color w:val="404040" w:themeColor="text1" w:themeTint="BF"/>
      <w:sz w:val="24"/>
      <w:szCs w:val="20"/>
    </w:rPr>
  </w:style>
  <w:style w:type="character" w:default="1" w:styleId="DefaultParagraphFont">
    <w:name w:val="Default Paragraph Font"/>
    <w:uiPriority w:val="1"/>
    <w:semiHidden/>
    <w:unhideWhenUsed/>
    <w:rPr>
      <w:rFonts w:ascii="华文楷体" w:hAnsi="华文楷体"/>
      <w:sz w:val="24"/>
    </w:rPr>
  </w:style>
  <w:style w:type="table" w:default="1" w:styleId="TableNormal">
    <w:name w:val="Normal Table"/>
    <w:uiPriority w:val="99"/>
    <w:semiHidden/>
    <w:unhideWhenUsed/>
    <w:rPr>
      <w:rFonts w:ascii="华文楷体" w:hAnsi="华文楷体"/>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sz w:val="24"/>
    </w:rPr>
  </w:style>
  <w:style w:type="paragraph" w:styleId="BodyText">
    <w:name w:val="Body Text"/>
    <w:basedOn w:val="Normal"/>
    <w:link w:val="BodyTextChar"/>
    <w:uiPriority w:val="99"/>
    <w:unhideWhenUsed/>
    <w:rsid w:val="00AA1D8D"/>
    <w:pPr>
      <w:spacing w:after="120"/>
    </w:pPr>
    <w:rPr>
      <w:rFonts w:ascii="华文楷体" w:hAnsi="华文楷体"/>
      <w:sz w:val="24"/>
    </w:rPr>
  </w:style>
  <w:style w:type="character" w:customStyle="1" w:styleId="BodyTextChar">
    <w:name w:val="Body Text Char"/>
    <w:basedOn w:val="DefaultParagraphFont"/>
    <w:link w:val="BodyText"/>
    <w:uiPriority w:val="99"/>
    <w:rsid w:val="00AA1D8D"/>
    <w:rPr>
      <w:rFonts w:ascii="华文楷体" w:hAnsi="华文楷体"/>
      <w:sz w:val="24"/>
    </w:rPr>
  </w:style>
  <w:style w:type="paragraph" w:styleId="BodyText2">
    <w:name w:val="Body Text 2"/>
    <w:basedOn w:val="Normal"/>
    <w:link w:val="BodyText2Char"/>
    <w:uiPriority w:val="99"/>
    <w:unhideWhenUsed/>
    <w:rsid w:val="00AA1D8D"/>
    <w:pPr>
      <w:spacing w:after="120" w:line="480" w:lineRule="auto"/>
    </w:pPr>
    <w:rPr>
      <w:rFonts w:ascii="华文楷体" w:hAnsi="华文楷体"/>
      <w:sz w:val="24"/>
    </w:rPr>
  </w:style>
  <w:style w:type="character" w:customStyle="1" w:styleId="BodyText2Char">
    <w:name w:val="Body Text 2 Char"/>
    <w:basedOn w:val="DefaultParagraphFont"/>
    <w:link w:val="BodyText2"/>
    <w:uiPriority w:val="99"/>
    <w:rsid w:val="00AA1D8D"/>
    <w:rPr>
      <w:rFonts w:ascii="华文楷体" w:hAnsi="华文楷体"/>
      <w:sz w:val="24"/>
    </w:rPr>
  </w:style>
  <w:style w:type="paragraph" w:styleId="BodyText3">
    <w:name w:val="Body Text 3"/>
    <w:basedOn w:val="Normal"/>
    <w:link w:val="BodyText3Char"/>
    <w:uiPriority w:val="99"/>
    <w:unhideWhenUsed/>
    <w:rsid w:val="00AA1D8D"/>
    <w:pPr>
      <w:spacing w:after="120"/>
    </w:pPr>
    <w:rPr>
      <w:rFonts w:ascii="华文楷体" w:hAnsi="华文楷体"/>
      <w:sz w:val="24"/>
      <w:szCs w:val="16"/>
    </w:rPr>
  </w:style>
  <w:style w:type="character" w:customStyle="1" w:styleId="BodyText3Char">
    <w:name w:val="Body Text 3 Char"/>
    <w:basedOn w:val="DefaultParagraphFont"/>
    <w:link w:val="BodyText3"/>
    <w:uiPriority w:val="99"/>
    <w:rsid w:val="00AA1D8D"/>
    <w:rPr>
      <w:rFonts w:ascii="华文楷体" w:hAnsi="华文楷体"/>
      <w:sz w:val="24"/>
      <w:szCs w:val="16"/>
    </w:rPr>
  </w:style>
  <w:style w:type="paragraph" w:styleId="List">
    <w:name w:val="List"/>
    <w:basedOn w:val="Normal"/>
    <w:uiPriority w:val="99"/>
    <w:unhideWhenUsed/>
    <w:rsid w:val="00AA1D8D"/>
    <w:pPr>
      <w:ind w:left="360" w:hanging="360"/>
      <w:contextualSpacing/>
    </w:pPr>
    <w:rPr>
      <w:rFonts w:ascii="华文楷体" w:hAnsi="华文楷体"/>
      <w:sz w:val="24"/>
    </w:rPr>
  </w:style>
  <w:style w:type="paragraph" w:styleId="List2">
    <w:name w:val="List 2"/>
    <w:basedOn w:val="Normal"/>
    <w:uiPriority w:val="99"/>
    <w:unhideWhenUsed/>
    <w:rsid w:val="00326F90"/>
    <w:pPr>
      <w:ind w:left="720" w:hanging="360"/>
      <w:contextualSpacing/>
    </w:pPr>
    <w:rPr>
      <w:rFonts w:ascii="华文楷体" w:hAnsi="华文楷体"/>
      <w:sz w:val="24"/>
    </w:rPr>
  </w:style>
  <w:style w:type="paragraph" w:styleId="List3">
    <w:name w:val="List 3"/>
    <w:basedOn w:val="Normal"/>
    <w:uiPriority w:val="99"/>
    <w:unhideWhenUsed/>
    <w:rsid w:val="00326F90"/>
    <w:pPr>
      <w:ind w:left="1080" w:hanging="360"/>
      <w:contextualSpacing/>
    </w:pPr>
    <w:rPr>
      <w:rFonts w:ascii="华文楷体" w:hAnsi="华文楷体"/>
      <w:sz w:val="24"/>
    </w:rPr>
  </w:style>
  <w:style w:type="paragraph" w:styleId="ListBullet">
    <w:name w:val="List Bullet"/>
    <w:basedOn w:val="Normal"/>
    <w:uiPriority w:val="99"/>
    <w:unhideWhenUsed/>
    <w:rsid w:val="00326F90"/>
    <w:pPr>
      <w:numPr>
        <w:numId w:val="1"/>
      </w:numPr>
      <w:contextualSpacing/>
    </w:pPr>
    <w:rPr>
      <w:rFonts w:ascii="华文楷体" w:hAnsi="华文楷体"/>
      <w:sz w:val="24"/>
    </w:rPr>
  </w:style>
  <w:style w:type="paragraph" w:styleId="ListBullet2">
    <w:name w:val="List Bullet 2"/>
    <w:basedOn w:val="Normal"/>
    <w:uiPriority w:val="99"/>
    <w:unhideWhenUsed/>
    <w:rsid w:val="00326F90"/>
    <w:pPr>
      <w:numPr>
        <w:numId w:val="2"/>
      </w:numPr>
      <w:contextualSpacing/>
    </w:pPr>
    <w:rPr>
      <w:rFonts w:ascii="华文楷体" w:hAnsi="华文楷体"/>
      <w:sz w:val="24"/>
    </w:rPr>
  </w:style>
  <w:style w:type="paragraph" w:styleId="ListBullet3">
    <w:name w:val="List Bullet 3"/>
    <w:basedOn w:val="Normal"/>
    <w:uiPriority w:val="99"/>
    <w:unhideWhenUsed/>
    <w:rsid w:val="00326F90"/>
    <w:pPr>
      <w:numPr>
        <w:numId w:val="3"/>
      </w:numPr>
      <w:contextualSpacing/>
    </w:pPr>
    <w:rPr>
      <w:rFonts w:ascii="华文楷体" w:hAnsi="华文楷体"/>
      <w:sz w:val="24"/>
    </w:rPr>
  </w:style>
  <w:style w:type="paragraph" w:styleId="ListNumber">
    <w:name w:val="List Number"/>
    <w:basedOn w:val="Normal"/>
    <w:uiPriority w:val="99"/>
    <w:unhideWhenUsed/>
    <w:rsid w:val="00326F90"/>
    <w:pPr>
      <w:numPr>
        <w:numId w:val="5"/>
      </w:numPr>
      <w:contextualSpacing/>
    </w:pPr>
    <w:rPr>
      <w:rFonts w:ascii="华文楷体" w:hAnsi="华文楷体"/>
      <w:sz w:val="24"/>
    </w:rPr>
  </w:style>
  <w:style w:type="paragraph" w:styleId="ListNumber2">
    <w:name w:val="List Number 2"/>
    <w:basedOn w:val="Normal"/>
    <w:uiPriority w:val="99"/>
    <w:unhideWhenUsed/>
    <w:rsid w:val="0029639D"/>
    <w:pPr>
      <w:numPr>
        <w:numId w:val="6"/>
      </w:numPr>
      <w:contextualSpacing/>
    </w:pPr>
    <w:rPr>
      <w:rFonts w:ascii="华文楷体" w:hAnsi="华文楷体"/>
      <w:sz w:val="24"/>
    </w:rPr>
  </w:style>
  <w:style w:type="paragraph" w:styleId="ListNumber3">
    <w:name w:val="List Number 3"/>
    <w:basedOn w:val="Normal"/>
    <w:uiPriority w:val="99"/>
    <w:unhideWhenUsed/>
    <w:rsid w:val="0029639D"/>
    <w:pPr>
      <w:numPr>
        <w:numId w:val="7"/>
      </w:numPr>
      <w:contextualSpacing/>
    </w:pPr>
    <w:rPr>
      <w:rFonts w:ascii="华文楷体" w:hAnsi="华文楷体"/>
      <w:sz w:val="24"/>
    </w:rPr>
  </w:style>
  <w:style w:type="paragraph" w:styleId="ListContinue">
    <w:name w:val="List Continue"/>
    <w:basedOn w:val="Normal"/>
    <w:uiPriority w:val="99"/>
    <w:unhideWhenUsed/>
    <w:rsid w:val="0029639D"/>
    <w:pPr>
      <w:spacing w:after="120"/>
      <w:ind w:left="360"/>
      <w:contextualSpacing/>
    </w:pPr>
    <w:rPr>
      <w:rFonts w:ascii="华文楷体" w:hAnsi="华文楷体"/>
      <w:sz w:val="24"/>
    </w:rPr>
  </w:style>
  <w:style w:type="paragraph" w:styleId="ListContinue2">
    <w:name w:val="List Continue 2"/>
    <w:basedOn w:val="Normal"/>
    <w:uiPriority w:val="99"/>
    <w:unhideWhenUsed/>
    <w:rsid w:val="0029639D"/>
    <w:pPr>
      <w:spacing w:after="120"/>
      <w:ind w:left="720"/>
      <w:contextualSpacing/>
    </w:pPr>
    <w:rPr>
      <w:rFonts w:ascii="华文楷体" w:hAnsi="华文楷体"/>
      <w:sz w:val="24"/>
    </w:rPr>
  </w:style>
  <w:style w:type="paragraph" w:styleId="ListContinue3">
    <w:name w:val="List Continue 3"/>
    <w:basedOn w:val="Normal"/>
    <w:uiPriority w:val="99"/>
    <w:unhideWhenUsed/>
    <w:rsid w:val="0029639D"/>
    <w:pPr>
      <w:spacing w:after="120"/>
      <w:ind w:left="1080"/>
      <w:contextualSpacing/>
    </w:pPr>
    <w:rPr>
      <w:rFonts w:ascii="华文楷体" w:hAnsi="华文楷体"/>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sz w:val="24"/>
      <w:szCs w:val="20"/>
    </w:rPr>
  </w:style>
  <w:style w:type="character" w:customStyle="1" w:styleId="MacroTextChar">
    <w:name w:val="Macro Text Char"/>
    <w:basedOn w:val="DefaultParagraphFont"/>
    <w:link w:val="MacroText"/>
    <w:uiPriority w:val="99"/>
    <w:rsid w:val="0029639D"/>
    <w:rPr>
      <w:rFonts w:ascii="华文楷体" w:hAnsi="华文楷体"/>
      <w:sz w:val="24"/>
      <w:szCs w:val="20"/>
    </w:rPr>
  </w:style>
  <w:style w:type="paragraph" w:styleId="Quote">
    <w:name w:val="Quote"/>
    <w:basedOn w:val="Normal"/>
    <w:next w:val="Normal"/>
    <w:link w:val="QuoteChar"/>
    <w:uiPriority w:val="29"/>
    <w:qFormat/>
    <w:rsid w:val="00FC693F"/>
    <w:rPr>
      <w:rFonts w:ascii="华文楷体" w:hAnsi="华文楷体"/>
      <w:i/>
      <w:iCs/>
      <w:color w:val="000000" w:themeColor="text1"/>
      <w:sz w:val="24"/>
    </w:rPr>
  </w:style>
  <w:style w:type="character" w:customStyle="1" w:styleId="QuoteChar">
    <w:name w:val="Quote Char"/>
    <w:basedOn w:val="DefaultParagraphFont"/>
    <w:link w:val="Quote"/>
    <w:uiPriority w:val="29"/>
    <w:rsid w:val="00FC693F"/>
    <w:rPr>
      <w:rFonts w:ascii="华文楷体" w:hAnsi="华文楷体"/>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b/>
      <w:bCs/>
      <w:color w:val="4F81BD" w:themeColor="accent1"/>
      <w:sz w:val="24"/>
      <w:szCs w:val="18"/>
    </w:rPr>
  </w:style>
  <w:style w:type="character" w:styleId="Strong">
    <w:name w:val="Strong"/>
    <w:basedOn w:val="DefaultParagraphFont"/>
    <w:uiPriority w:val="22"/>
    <w:qFormat/>
    <w:rsid w:val="00FC693F"/>
    <w:rPr>
      <w:rFonts w:ascii="华文楷体" w:hAnsi="华文楷体"/>
      <w:b/>
      <w:bCs/>
      <w:sz w:val="24"/>
    </w:rPr>
  </w:style>
  <w:style w:type="character" w:styleId="Emphasis">
    <w:name w:val="Emphasis"/>
    <w:basedOn w:val="DefaultParagraphFont"/>
    <w:uiPriority w:val="20"/>
    <w:qFormat/>
    <w:rsid w:val="00FC693F"/>
    <w:rPr>
      <w:rFonts w:ascii="华文楷体" w:hAnsi="华文楷体"/>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b/>
      <w:bCs/>
      <w:i/>
      <w:iCs/>
      <w:color w:val="4F81BD" w:themeColor="accent1"/>
      <w:sz w:val="24"/>
    </w:rPr>
  </w:style>
  <w:style w:type="character" w:customStyle="1" w:styleId="IntenseQuoteChar">
    <w:name w:val="Intense Quote Char"/>
    <w:basedOn w:val="DefaultParagraphFont"/>
    <w:link w:val="IntenseQuote"/>
    <w:uiPriority w:val="30"/>
    <w:rsid w:val="00FC693F"/>
    <w:rPr>
      <w:rFonts w:ascii="华文楷体" w:hAnsi="华文楷体"/>
      <w:b/>
      <w:bCs/>
      <w:i/>
      <w:iCs/>
      <w:color w:val="4F81BD" w:themeColor="accent1"/>
      <w:sz w:val="24"/>
    </w:rPr>
  </w:style>
  <w:style w:type="character" w:styleId="SubtleEmphasis">
    <w:name w:val="Subtle Emphasis"/>
    <w:basedOn w:val="DefaultParagraphFont"/>
    <w:uiPriority w:val="19"/>
    <w:qFormat/>
    <w:rsid w:val="00FC693F"/>
    <w:rPr>
      <w:rFonts w:ascii="华文楷体" w:hAnsi="华文楷体"/>
      <w:i/>
      <w:iCs/>
      <w:color w:val="808080" w:themeColor="text1" w:themeTint="7F"/>
      <w:sz w:val="24"/>
    </w:rPr>
  </w:style>
  <w:style w:type="character" w:styleId="IntenseEmphasis">
    <w:name w:val="Intense Emphasis"/>
    <w:basedOn w:val="DefaultParagraphFont"/>
    <w:uiPriority w:val="21"/>
    <w:qFormat/>
    <w:rsid w:val="00FC693F"/>
    <w:rPr>
      <w:rFonts w:ascii="华文楷体" w:hAnsi="华文楷体"/>
      <w:b/>
      <w:bCs/>
      <w:i/>
      <w:iCs/>
      <w:color w:val="4F81BD" w:themeColor="accent1"/>
      <w:sz w:val="24"/>
    </w:rPr>
  </w:style>
  <w:style w:type="character" w:styleId="SubtleReference">
    <w:name w:val="Subtle Reference"/>
    <w:basedOn w:val="DefaultParagraphFont"/>
    <w:uiPriority w:val="31"/>
    <w:qFormat/>
    <w:rsid w:val="00FC693F"/>
    <w:rPr>
      <w:rFonts w:ascii="华文楷体" w:hAnsi="华文楷体"/>
      <w:smallCaps/>
      <w:color w:val="C0504D" w:themeColor="accent2"/>
      <w:sz w:val="24"/>
      <w:u w:val="single"/>
    </w:rPr>
  </w:style>
  <w:style w:type="character" w:styleId="IntenseReference">
    <w:name w:val="Intense Reference"/>
    <w:basedOn w:val="DefaultParagraphFont"/>
    <w:uiPriority w:val="32"/>
    <w:qFormat/>
    <w:rsid w:val="00FC693F"/>
    <w:rPr>
      <w:rFonts w:ascii="华文楷体" w:hAnsi="华文楷体"/>
      <w:b/>
      <w:bCs/>
      <w:smallCaps/>
      <w:color w:val="C0504D" w:themeColor="accent2"/>
      <w:spacing w:val="5"/>
      <w:sz w:val="24"/>
      <w:u w:val="single"/>
    </w:rPr>
  </w:style>
  <w:style w:type="character" w:styleId="BookTitle">
    <w:name w:val="Book Title"/>
    <w:basedOn w:val="DefaultParagraphFont"/>
    <w:uiPriority w:val="33"/>
    <w:qFormat/>
    <w:rsid w:val="00FC693F"/>
    <w:rPr>
      <w:rFonts w:ascii="华文楷体" w:hAnsi="华文楷体"/>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华文楷体" w:hAnsi="华文楷体"/>
      <w:sz w:val="24"/>
    </w:rPr>
  </w:style>
  <w:style w:type="table" w:styleId="TableGrid">
    <w:name w:val="Table Grid"/>
    <w:basedOn w:val="TableNormal"/>
    <w:uiPriority w:val="59"/>
    <w:rsid w:val="00FC693F"/>
    <w:pPr>
      <w:spacing w:after="0" w:line="240" w:lineRule="auto"/>
    </w:pPr>
    <w:rPr>
      <w:rFonts w:ascii="华文楷体" w:hAnsi="华文楷体"/>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color w:val="000000" w:themeColor="text1" w:themeShade="BF"/>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color w:val="365F91" w:themeColor="accent1" w:themeShade="BF"/>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color w:val="943634" w:themeColor="accent2" w:themeShade="BF"/>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color w:val="76923C" w:themeColor="accent3" w:themeShade="BF"/>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color w:val="5F497A" w:themeColor="accent4" w:themeShade="BF"/>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color w:val="31849B" w:themeColor="accent5" w:themeShade="BF"/>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color w:val="E36C0A" w:themeColor="accent6" w:themeShade="BF"/>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color w:val="000000" w:themeColor="text1"/>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color w:val="FFFFFF" w:themeColor="background1"/>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color w:val="000000" w:themeColor="text1"/>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color w:val="000000" w:themeColor="text1"/>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color w:val="000000" w:themeColor="text1"/>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