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华文楷体" w:hAnsi="华文楷体" w:eastAsia="华文楷体"/>
        </w:rPr>
        <w:t>新能源行业商机周报</w:t>
      </w:r>
    </w:p>
    <w:p>
      <w:r>
        <w:rPr>
          <w:rFonts w:ascii="华文楷体" w:hAnsi="华文楷体" w:eastAsia="华文楷体"/>
          <w:sz w:val="24"/>
        </w:rPr>
        <w:t>覆盖周期：2026.05.16-2026.05.22</w:t>
      </w:r>
    </w:p>
    <w:p>
      <w:r>
        <w:rPr>
          <w:rFonts w:ascii="华文楷体" w:hAnsi="华文楷体" w:eastAsia="华文楷体"/>
          <w:sz w:val="24"/>
        </w:rPr>
        <w:t>资料来源：国家发展改革委、国家能源局、新华社、财联社、36氪、证券时报/新浪财经、中国能源报/人民日报转载、行业垂直媒体、上市公司公开资料、企业官网及公开招股/年报资料等。</w:t>
      </w:r>
    </w:p>
    <w:p>
      <w:pPr>
        <w:pStyle w:val="Heading1"/>
      </w:pPr>
      <w:r>
        <w:rPr>
          <w:rFonts w:ascii="华文楷体" w:hAnsi="华文楷体" w:eastAsia="华文楷体"/>
        </w:rPr>
        <w:t>一、行业动态与发展总结</w:t>
      </w:r>
    </w:p>
    <w:p>
      <w:pPr>
        <w:pStyle w:val="Heading2"/>
      </w:pPr>
      <w:r>
        <w:rPr>
          <w:rFonts w:ascii="华文楷体" w:hAnsi="华文楷体" w:eastAsia="华文楷体"/>
        </w:rPr>
        <w:t>1. 近期政策变动</w:t>
      </w:r>
    </w:p>
    <w:p>
      <w:r>
        <w:rPr>
          <w:rFonts w:ascii="华文楷体" w:hAnsi="华文楷体" w:eastAsia="华文楷体"/>
          <w:sz w:val="24"/>
        </w:rPr>
        <w:t>本周最重要的政策信号是国家发展改革委、国家能源局发布《关于有序推动多用户绿电直连发展有关事项的通知》（发改能源〔2026〕688号）。政策将绿电直连从单一用户扩展至多用户场景，明确可由用户、新能源企业、政府合资平台或第三方平台作为主责单位，统筹连接线路、变电设施、储能、运营平台、市场交易和电费结算。项目按照“以荷定源”组织，年自发自用电量占总可用发电量比例原则上不低于60%，占总用电量比例不低于30%，2030年前不低于35%；分布式光伏可通过集中汇流方式参与多用户绿电直连，优先支持算力设施、绿色氢氨醇等新兴产业和未来产业。</w:t>
      </w:r>
    </w:p>
    <w:p>
      <w:r>
        <w:rPr>
          <w:rFonts w:ascii="华文楷体" w:hAnsi="华文楷体" w:eastAsia="华文楷体"/>
          <w:sz w:val="24"/>
        </w:rPr>
        <w:t>同时，国家层面继续强调全国统一大市场建设、绿色经济合作、生态综合补偿机制建设。APEC贸易部长会议聚焦绿色经济，意味着新能源装备、储能系统、充换电设备、绿色制造相关企业仍处于政策支持和外贸合作双重窗口期。</w:t>
      </w:r>
    </w:p>
    <w:p>
      <w:r>
        <w:rPr>
          <w:rFonts w:ascii="华文楷体" w:hAnsi="华文楷体" w:eastAsia="华文楷体"/>
          <w:sz w:val="24"/>
        </w:rPr>
        <w:t>综合影响闭环： 绿电直连把“新能源电站—园区负荷—储能—运营平台”连接成可融资的项目组合。对企业而言，园区低碳用能、算力中心绿电采购、工商业储能配置和综合能源服务将形成新增投资；对银行而言，机会集中在项目贷款、科技创新和技术更新改造再贷款、银团融资、平安租赁、票据/保理、数字财资和跨境结算。客户经理应优先寻找具备园区资源、分布式光伏开发能力、储能系统集成能力和核心用电客户资源的主体。</w:t>
      </w:r>
    </w:p>
    <w:p>
      <w:pPr>
        <w:pStyle w:val="Heading2"/>
      </w:pPr>
      <w:r>
        <w:rPr>
          <w:rFonts w:ascii="华文楷体" w:hAnsi="华文楷体" w:eastAsia="华文楷体"/>
        </w:rPr>
        <w:t>2. 政府规划与产业方向</w:t>
      </w:r>
    </w:p>
    <w:p>
      <w:r>
        <w:rPr>
          <w:rFonts w:ascii="华文楷体" w:hAnsi="华文楷体" w:eastAsia="华文楷体"/>
          <w:sz w:val="24"/>
        </w:rPr>
        <w:t>国家产业方向继续围绕新型电力系统、源网荷储协同、绿色制造、设备更新和硬科技扩产展开。688号文把多用户绿电直连制度化，实质上为零碳园区、绿色工厂、算力设施、绿色氢氨醇和分布式新能源消纳提供了政策底座。国家级规划不再只鼓励单点新能源装机，而是要求电源、负荷、储能和交易机制协同，具备“项目组织能力+运营平台能力”的企业价值上升。</w:t>
      </w:r>
    </w:p>
    <w:p>
      <w:r>
        <w:rPr>
          <w:rFonts w:ascii="华文楷体" w:hAnsi="华文楷体" w:eastAsia="华文楷体"/>
          <w:sz w:val="24"/>
        </w:rPr>
        <w:t>资本市场方面，A股年初以来新能源、AI算力产业链和半导体仍是高端扩产的集中方向，现金流充裕的龙头更多使用自有资金，硬科技企业则更多使用定增、港股/A+H、债券等工具补充资本开支。银行应把“扩产资金来源、订单确定性、存货和应收账款周转”作为授信前置判断。</w:t>
      </w:r>
    </w:p>
    <w:p>
      <w:pPr>
        <w:pStyle w:val="Heading2"/>
      </w:pPr>
      <w:r>
        <w:rPr>
          <w:rFonts w:ascii="华文楷体" w:hAnsi="华文楷体" w:eastAsia="华文楷体"/>
        </w:rPr>
        <w:t>3. 行业发展趋势</w:t>
      </w:r>
    </w:p>
    <w:p>
      <w:r>
        <w:rPr>
          <w:rFonts w:ascii="华文楷体" w:hAnsi="华文楷体" w:eastAsia="华文楷体"/>
          <w:sz w:val="24"/>
        </w:rPr>
        <w:t>新能源行业整体处于“总量增长、结构分化、低端出清、高端扩产”的阶段。光伏制造仍承压，组件、硅片、电池片价格竞争尚未完全结束，但逆变器、微逆、储能PCS、工商业储能和海外渠道企业更具结构性机会。储能景气度明显回升，头部电芯企业订单排期延长，大容量电芯、钠离子电池、AIDC储能解决方案成为展会和订单主线。风电方面，海上风电和海外风电建设节奏提升，整机、塔筒、海工装备和运维服务机会较强。氢能仍处于示范向商业化过渡阶段，电解槽、燃料电池和加氢站具备政策关注度，但项目现金流和补贴依赖仍需审慎。</w:t>
      </w:r>
    </w:p>
    <w:p>
      <w:r>
        <w:rPr>
          <w:rFonts w:ascii="华文楷体" w:hAnsi="华文楷体" w:eastAsia="华文楷体"/>
          <w:sz w:val="24"/>
        </w:rPr>
        <w:t>银行关注重点应从“泛新能源”转向四类企业：一是有真实海外订单和渠道能力的逆变器/储能企业；二是切入绿电直连、零碳园区、工商业储能的系统集成商；三是具备核心客户的风电、光伏、锂电设备供应商；四是现金流健康、可带动上下游批量获客的链主企业。风险上，需关注光伏低端产能过剩、锂电扩产二次过热、海外贸易壁垒、应收账款拉长和大客户集中。</w:t>
      </w:r>
    </w:p>
    <w:p>
      <w:pPr>
        <w:pStyle w:val="Heading2"/>
      </w:pPr>
      <w:r>
        <w:rPr>
          <w:rFonts w:ascii="华文楷体" w:hAnsi="华文楷体" w:eastAsia="华文楷体"/>
        </w:rPr>
        <w:t>4. 上下游产业链动态</w:t>
      </w:r>
    </w:p>
    <w:p>
      <w:r>
        <w:rPr>
          <w:rFonts w:ascii="华文楷体" w:hAnsi="华文楷体" w:eastAsia="华文楷体"/>
          <w:sz w:val="24"/>
        </w:rPr>
        <w:t>上游方面，锂电材料、正负极、电解液、隔膜等环节受储能与固态/半固态电池技术迭代影响，订单结构分化；具备大客户认证和规模化降本能力的企业更容易获得融资支持。中游方面，储能电芯、PACK、PCS、BMS、系统集成和光伏逆变器是资金占用较大的环节，原材料备货、项目交付、质保保证金和应收账款都会带来短贷、票据、保理和订单融资需求。下游方面，园区、工商业用户、数据中心、充换电运营商和海外电站客户对一体化方案需求提升，适合通过核心企业做供应链金融批量获客。</w:t>
      </w:r>
    </w:p>
    <w:p>
      <w:pPr>
        <w:pStyle w:val="Heading1"/>
      </w:pPr>
      <w:r>
        <w:rPr>
          <w:rFonts w:ascii="华文楷体" w:hAnsi="华文楷体" w:eastAsia="华文楷体"/>
        </w:rPr>
        <w:t>二、浙江地区动态与区域机会</w:t>
      </w:r>
    </w:p>
    <w:p>
      <w:pPr>
        <w:pStyle w:val="Heading2"/>
      </w:pPr>
      <w:r>
        <w:rPr>
          <w:rFonts w:ascii="华文楷体" w:hAnsi="华文楷体" w:eastAsia="华文楷体"/>
        </w:rPr>
        <w:t>1. 浙江政策与政府规划</w:t>
      </w:r>
    </w:p>
    <w:p>
      <w:r>
        <w:rPr>
          <w:rFonts w:ascii="华文楷体" w:hAnsi="华文楷体" w:eastAsia="华文楷体"/>
          <w:sz w:val="24"/>
        </w:rPr>
        <w:t>浙江“415X”先进制造业集群在2026年继续优化升级，重点提升新能源汽车及零部件、智能物联、新材料等集群，并新增/调整未来产业赛道。浙江制造业基础强，杭州、宁波、嘉兴、绍兴、湖州等地已形成光伏逆变器、储能系统、动力电池、正极材料、风电整机与零部件、充换电设备等产业基础。国家多用户绿电直连政策落地后，浙江的工业园区、制造业集群、数据中心和高耗能绿色改造项目将更容易形成“分布式光伏+储能+园区负荷+运营平台”的组合式项目。</w:t>
      </w:r>
    </w:p>
    <w:p>
      <w:r>
        <w:rPr>
          <w:rFonts w:ascii="华文楷体" w:hAnsi="华文楷体" w:eastAsia="华文楷体"/>
          <w:sz w:val="24"/>
        </w:rPr>
        <w:t>对本地企业的影响主要体现在三点：一是园区型客户会增加绿电、储能和能碳管理需求；二是设备更新和绿色制造会带动逆变器、储能系统、风电设备、充电桩和智慧能源平台采购；三是外贸型新能源企业对跨境结算、汇率避险和海外资金管理需求上升。</w:t>
      </w:r>
    </w:p>
    <w:p>
      <w:pPr>
        <w:pStyle w:val="Heading2"/>
      </w:pPr>
      <w:r>
        <w:rPr>
          <w:rFonts w:ascii="华文楷体" w:hAnsi="华文楷体" w:eastAsia="华文楷体"/>
        </w:rPr>
        <w:t>2. 浙江重点产业与区域机会</w:t>
      </w:r>
    </w:p>
    <w:p>
      <w:r>
        <w:rPr>
          <w:rFonts w:ascii="华文楷体" w:hAnsi="华文楷体" w:eastAsia="华文楷体"/>
          <w:sz w:val="24"/>
        </w:rPr>
        <w:t>杭州建议重点关注储能系统、微型逆变器、动力电池、风电整机和综合能源服务；宁波建议重点关注光伏逆变器、正极材料、汽车零部件和出口型制造；嘉兴、湖州、绍兴可重点关注光伏组件配套、锂电材料、工商业储能和园区能源改造；温州、台州可关注充电设施、电气设备、汽摩配新能源化和外贸出口。</w:t>
      </w:r>
    </w:p>
    <w:p>
      <w:r>
        <w:rPr>
          <w:rFonts w:ascii="华文楷体" w:hAnsi="华文楷体" w:eastAsia="华文楷体"/>
          <w:sz w:val="24"/>
        </w:rPr>
        <w:t>区域扫客优先级：第一类是有海外收入或海外订单的逆变器、储能、光伏配套企业；第二类是省内链主企业及其核心供应商；第三类是园区综合能源运营商和工商业储能集成商；第四类是专精特新、小巨人、高新技术企业，尤其是订单增长但抵押不足的科技型中小企业。</w:t>
      </w:r>
    </w:p>
    <w:p>
      <w:pPr>
        <w:pStyle w:val="Heading2"/>
      </w:pPr>
      <w:r>
        <w:rPr>
          <w:rFonts w:ascii="华文楷体" w:hAnsi="华文楷体" w:eastAsia="华文楷体"/>
        </w:rPr>
        <w:t>3. 浙江上下游产业链动态</w:t>
      </w:r>
    </w:p>
    <w:p>
      <w:r>
        <w:rPr>
          <w:rFonts w:ascii="华文楷体" w:hAnsi="华文楷体" w:eastAsia="华文楷体"/>
          <w:sz w:val="24"/>
        </w:rPr>
        <w:t>浙江新能源链条呈现“研发和系统集成在杭州、制造和港口外贸在宁波、配套制造在嘉湖绍台”的格局。上游材料侧，宁波正极材料和浙江锂电材料企业与头部电池厂绑定度较高，适合围绕应收账款、存货和票据做授信方案。中游制造侧，杭州、宁波的逆变器、储能系统、风电设备企业订单交付周期拉长，适合短贷、银票、国内信用证、平安租赁和科创贷。下游应用侧，园区绿电直连和工商业储能将带动项目公司、EPC、设备商和运维商资金需求，适合做项目融资+供应链金融组合。</w:t>
      </w:r>
    </w:p>
    <w:p>
      <w:pPr>
        <w:pStyle w:val="Heading2"/>
      </w:pPr>
      <w:r>
        <w:rPr>
          <w:rFonts w:ascii="华文楷体" w:hAnsi="华文楷体" w:eastAsia="华文楷体"/>
        </w:rPr>
        <w:t>4. 银行展业机会</w:t>
      </w:r>
    </w:p>
    <w:p>
      <w:pPr>
        <w:pStyle w:val="ListNumber"/>
      </w:pPr>
      <w:r>
        <w:t>1. 园区绿电直连与工商业储能：以项目贷款、科技创新和技术更新改造再贷款、平安租赁、数字财资切入，配套票据和保理。</w:t>
      </w:r>
    </w:p>
    <w:p>
      <w:pPr>
        <w:pStyle w:val="ListNumber"/>
      </w:pPr>
      <w:r>
        <w:t>2. 逆变器/储能出口企业：以跨境支付结算、人民币国际证+福费廷、外币存款、跨境资金管理和平安避险切入。</w:t>
      </w:r>
    </w:p>
    <w:p>
      <w:pPr>
        <w:pStyle w:val="ListNumber"/>
      </w:pPr>
      <w:r>
        <w:t>3. 链主企业供应商批量获客：围绕禾迈、锦浪、南都、运达等核心企业上下游，设计订单融资、付融通、商票保贴、银票贴现方案。</w:t>
      </w:r>
    </w:p>
    <w:p>
      <w:pPr>
        <w:pStyle w:val="ListNumber"/>
      </w:pPr>
      <w:r>
        <w:t>4. 科技型中小企业成长融资：对专精特新、高新技术企业使用普惠金融科创贷、普惠金融信用贷、知识产权质押或担保贷，额度和期限按资料及审批待沟通。</w:t>
      </w:r>
    </w:p>
    <w:p>
      <w:pPr>
        <w:pStyle w:val="ListNumber"/>
      </w:pPr>
      <w:r>
        <w:t>5. 员工与企业主经营：对员工规模较大企业，配套平安薪、口袋管家、慧收款和企业主财富服务。</w:t>
      </w:r>
    </w:p>
    <w:p>
      <w:pPr>
        <w:pStyle w:val="Heading1"/>
      </w:pPr>
      <w:r>
        <w:rPr>
          <w:rFonts w:ascii="华文楷体" w:hAnsi="华文楷体" w:eastAsia="华文楷体"/>
        </w:rPr>
        <w:t>三、重点企业推荐</w:t>
      </w:r>
    </w:p>
    <w:p>
      <w:pPr>
        <w:pStyle w:val="Heading2"/>
      </w:pPr>
      <w:r>
        <w:rPr>
          <w:rFonts w:ascii="华文楷体" w:hAnsi="华文楷体" w:eastAsia="华文楷体"/>
        </w:rPr>
        <w:t>企业名称：杭州禾迈电力电子股份有限公司</w:t>
      </w:r>
    </w:p>
    <w:p>
      <w:pPr>
        <w:pStyle w:val="ListBullet"/>
      </w:pPr>
      <w:r>
        <w:t>推荐等级： 高</w:t>
      </w:r>
    </w:p>
    <w:p>
      <w:pPr>
        <w:pStyle w:val="ListBullet"/>
      </w:pPr>
      <w:r>
        <w:t>所属行业： 光伏逆变器/微型逆变器/储能逆变器</w:t>
      </w:r>
    </w:p>
    <w:p>
      <w:pPr>
        <w:pStyle w:val="ListBullet"/>
      </w:pPr>
      <w:r>
        <w:t>所在地区： 杭州</w:t>
      </w:r>
    </w:p>
    <w:p>
      <w:pPr>
        <w:pStyle w:val="ListBullet"/>
      </w:pPr>
      <w:r>
        <w:t>产业链位置： 中游设备</w:t>
      </w:r>
    </w:p>
    <w:p>
      <w:pPr>
        <w:pStyle w:val="ListBullet"/>
      </w:pPr>
      <w:r>
        <w:t>推荐方向： 跨境结算 / 供应链金融 / 票据 / 现金管理 / 科创融资</w:t>
      </w:r>
    </w:p>
    <w:p>
      <w:r>
        <w:rPr>
          <w:rFonts w:ascii="华文楷体" w:hAnsi="华文楷体" w:eastAsia="华文楷体"/>
          <w:sz w:val="24"/>
        </w:rPr>
        <w:t>企业关键信息:</w:t>
      </w:r>
    </w:p>
    <w:p>
      <w:pPr>
        <w:pStyle w:val="ListBullet"/>
      </w:pPr>
      <w:r>
        <w:t>基本情况: 公司位于杭州，主营微型逆变器、监控设备及储能相关电力电子产品，是分布式光伏和户用光储的重要设备商。</w:t>
      </w:r>
    </w:p>
    <w:p>
      <w:pPr>
        <w:pStyle w:val="ListBullet"/>
      </w:pPr>
      <w:r>
        <w:t>高层与团队背景: 公开资料显示，邵建雄担任董事长并通过相关主体控制公司；公司核心研发团队具有浙江大学等高校电力电子、控制工程背景。个人导师等细节未披露/待核实。</w:t>
      </w:r>
    </w:p>
    <w:p>
      <w:pPr>
        <w:pStyle w:val="ListBullet"/>
      </w:pPr>
      <w:r>
        <w:t>银行关注点: 技术团队与电力电子研发能力强，海外渠道和分布式光伏场景带来跨境结算、备货、应收账款和汇率管理需求。</w:t>
      </w:r>
    </w:p>
    <w:p>
      <w:r>
        <w:rPr>
          <w:rFonts w:ascii="华文楷体" w:hAnsi="华文楷体" w:eastAsia="华文楷体"/>
          <w:sz w:val="24"/>
        </w:rPr>
        <w:t>推荐理由:</w:t>
      </w:r>
    </w:p>
    <w:p>
      <w:r>
        <w:rPr>
          <w:rFonts w:ascii="华文楷体" w:hAnsi="华文楷体" w:eastAsia="华文楷体"/>
          <w:sz w:val="24"/>
        </w:rPr>
        <w:t>- 多用户绿电直连和分布式光伏集中汇流政策利好逆变器、微逆和光储控制设备。</w:t>
      </w:r>
    </w:p>
    <w:p>
      <w:r>
        <w:rPr>
          <w:rFonts w:ascii="华文楷体" w:hAnsi="华文楷体" w:eastAsia="华文楷体"/>
          <w:sz w:val="24"/>
        </w:rPr>
        <w:t>- 分布式光伏海外市场和户储需求仍具韧性，企业若订单恢复，将带来备货与回款周期资金占用。</w:t>
      </w:r>
    </w:p>
    <w:p>
      <w:r>
        <w:rPr>
          <w:rFonts w:ascii="华文楷体" w:hAnsi="华文楷体" w:eastAsia="华文楷体"/>
          <w:sz w:val="24"/>
        </w:rPr>
        <w:t>- 杭州高端制造和科创企业属性突出，适合以科技金融和跨境金融组合切入。</w:t>
      </w:r>
    </w:p>
    <w:p>
      <w:r>
        <w:rPr>
          <w:rFonts w:ascii="华文楷体" w:hAnsi="华文楷体" w:eastAsia="华文楷体"/>
          <w:sz w:val="24"/>
        </w:rPr>
        <w:t>银行展业机会:</w:t>
      </w:r>
    </w:p>
    <w:p>
      <w:r>
        <w:rPr>
          <w:rFonts w:ascii="华文楷体" w:hAnsi="华文楷体" w:eastAsia="华文楷体"/>
          <w:sz w:val="24"/>
        </w:rPr>
        <w:t>企业海外订单和分布式光伏交付增加 → 备货和应收账款上升 → 可用短贷、银票极速贴现、国内信用证、付融通或商票保贴支持；海外回款和汇率波动 → 跨境支付结算、外币存款、平安避险切入；研发投入和设备更新 → 普惠金融科创贷或科技创新和技术更新改造再贷款待沟通。</w:t>
      </w:r>
    </w:p>
    <w:p>
      <w:r>
        <w:rPr>
          <w:rFonts w:ascii="华文楷体" w:hAnsi="华文楷体" w:eastAsia="华文楷体"/>
          <w:sz w:val="24"/>
        </w:rPr>
        <w:t>推荐产品组合: 建议以跨境支付结算和平安避险作为主推产品，解决海外回款和汇率波动；配套银票极速贴现、付融通、数字财资，用于采购付款、应收账款周转和多账户资金管理。额度、期限、费率待沟通。</w:t>
      </w:r>
    </w:p>
    <w:p>
      <w:r>
        <w:rPr>
          <w:rFonts w:ascii="华文楷体" w:hAnsi="华文楷体" w:eastAsia="华文楷体"/>
          <w:sz w:val="24"/>
        </w:rPr>
        <w:t>客户经理切入话术: “我们注意到绿电直连和分布式光伏政策对逆变器企业是新增窗口，想了解贵司今年海外订单、备货和回款节奏，看看能否把跨境结算、汇率避险和供应链资金周转一起做成方案。”</w:t>
      </w:r>
    </w:p>
    <w:p>
      <w:r>
        <w:rPr>
          <w:rFonts w:ascii="华文楷体" w:hAnsi="华文楷体" w:eastAsia="华文楷体"/>
          <w:sz w:val="24"/>
        </w:rPr>
        <w:t>风险提示: 光伏价格竞争、海外贸易政策、客户集中度和库存周转需重点核实；仍需结合财报、订单、应收账款和汇率敞口确认。</w:t>
      </w:r>
    </w:p>
    <w:p>
      <w:pPr>
        <w:pStyle w:val="Heading2"/>
      </w:pPr>
      <w:r>
        <w:rPr>
          <w:rFonts w:ascii="华文楷体" w:hAnsi="华文楷体" w:eastAsia="华文楷体"/>
        </w:rPr>
        <w:t>企业名称：锦浪科技股份有限公司</w:t>
      </w:r>
    </w:p>
    <w:p>
      <w:pPr>
        <w:pStyle w:val="ListBullet"/>
      </w:pPr>
      <w:r>
        <w:t>推荐等级： 高</w:t>
      </w:r>
    </w:p>
    <w:p>
      <w:pPr>
        <w:pStyle w:val="ListBullet"/>
      </w:pPr>
      <w:r>
        <w:t>所属行业： 光伏逆变器/储能系统解决方案</w:t>
      </w:r>
    </w:p>
    <w:p>
      <w:pPr>
        <w:pStyle w:val="ListBullet"/>
      </w:pPr>
      <w:r>
        <w:t>所在地区： 宁波</w:t>
      </w:r>
    </w:p>
    <w:p>
      <w:pPr>
        <w:pStyle w:val="ListBullet"/>
      </w:pPr>
      <w:r>
        <w:t>产业链位置： 中游设备</w:t>
      </w:r>
    </w:p>
    <w:p>
      <w:pPr>
        <w:pStyle w:val="ListBullet"/>
      </w:pPr>
      <w:r>
        <w:t>推荐方向： 跨境结算 / 供应链金融 / 票据 / 现金管理</w:t>
      </w:r>
    </w:p>
    <w:p>
      <w:r>
        <w:rPr>
          <w:rFonts w:ascii="华文楷体" w:hAnsi="华文楷体" w:eastAsia="华文楷体"/>
          <w:sz w:val="24"/>
        </w:rPr>
        <w:t>企业关键信息:</w:t>
      </w:r>
    </w:p>
    <w:p>
      <w:pPr>
        <w:pStyle w:val="ListBullet"/>
      </w:pPr>
      <w:r>
        <w:t>基本情况: 公司由王一鸣于2005年创建，位于宁波，主营组串式逆变器和储能系统解决方案，公开资料称其为全球前三大逆变器制造商之一。</w:t>
      </w:r>
    </w:p>
    <w:p>
      <w:pPr>
        <w:pStyle w:val="ListBullet"/>
      </w:pPr>
      <w:r>
        <w:t>高层与团队背景: 王一鸣为国家级引才计划人才，长期深耕分布式光伏逆变器领域；具体学校、导师和专业公开信息待核实。</w:t>
      </w:r>
    </w:p>
    <w:p>
      <w:pPr>
        <w:pStyle w:val="ListBullet"/>
      </w:pPr>
      <w:r>
        <w:t>银行关注点: 创始人产业深耕和国际化市场能力强，企业具备出口、渠道、备货和供应商付款场景。</w:t>
      </w:r>
    </w:p>
    <w:p>
      <w:r>
        <w:rPr>
          <w:rFonts w:ascii="华文楷体" w:hAnsi="华文楷体" w:eastAsia="华文楷体"/>
          <w:sz w:val="24"/>
        </w:rPr>
        <w:t>推荐理由:</w:t>
      </w:r>
    </w:p>
    <w:p>
      <w:r>
        <w:rPr>
          <w:rFonts w:ascii="华文楷体" w:hAnsi="华文楷体" w:eastAsia="华文楷体"/>
          <w:sz w:val="24"/>
        </w:rPr>
        <w:t>- 绿电直连、分布式光伏和工商业储能提升逆变器及储能系统需求。</w:t>
      </w:r>
    </w:p>
    <w:p>
      <w:r>
        <w:rPr>
          <w:rFonts w:ascii="华文楷体" w:hAnsi="华文楷体" w:eastAsia="华文楷体"/>
          <w:sz w:val="24"/>
        </w:rPr>
        <w:t>- 宁波港口和外贸优势明显，公司国际化属性带来跨境金融切入空间。</w:t>
      </w:r>
    </w:p>
    <w:p>
      <w:r>
        <w:rPr>
          <w:rFonts w:ascii="华文楷体" w:hAnsi="华文楷体" w:eastAsia="华文楷体"/>
          <w:sz w:val="24"/>
        </w:rPr>
        <w:t>- 逆变器企业上游电子元器件采购和下游海外回款周期较长，供应链金融价值较高。</w:t>
      </w:r>
    </w:p>
    <w:p>
      <w:r>
        <w:rPr>
          <w:rFonts w:ascii="华文楷体" w:hAnsi="华文楷体" w:eastAsia="华文楷体"/>
          <w:sz w:val="24"/>
        </w:rPr>
        <w:t>银行展业机会:</w:t>
      </w:r>
    </w:p>
    <w:p>
      <w:r>
        <w:rPr>
          <w:rFonts w:ascii="华文楷体" w:hAnsi="华文楷体" w:eastAsia="华文楷体"/>
          <w:sz w:val="24"/>
        </w:rPr>
        <w:t>海外渠道销售 → 跨境结算、人民币国际证+福费廷、外币存款和平安避险；上游采购和库存备货 → 银票、国内信用证、短贷；核心供应商付款 → 付融通、商票保贴和票据贴现开放银行。</w:t>
      </w:r>
    </w:p>
    <w:p>
      <w:r>
        <w:rPr>
          <w:rFonts w:ascii="华文楷体" w:hAnsi="华文楷体" w:eastAsia="华文楷体"/>
          <w:sz w:val="24"/>
        </w:rPr>
        <w:t>推荐产品组合: 建议以跨境支付结算、人民币国际证+福费廷为主推，配套平安避险、银票极速贴现和数字财资，切入外贸结算、汇率管理和供应商付款。具体额度与期限待沟通。</w:t>
      </w:r>
    </w:p>
    <w:p>
      <w:r>
        <w:rPr>
          <w:rFonts w:ascii="华文楷体" w:hAnsi="华文楷体" w:eastAsia="华文楷体"/>
          <w:sz w:val="24"/>
        </w:rPr>
        <w:t>客户经理切入话术: “宁波新能源出口企业今年最关心回款、汇率和供应商付款稳定性，我们可以先帮贵司梳理海外结算币种和供应商票据场景，做一套跨境+票据的组合方案。”</w:t>
      </w:r>
    </w:p>
    <w:p>
      <w:r>
        <w:rPr>
          <w:rFonts w:ascii="华文楷体" w:hAnsi="华文楷体" w:eastAsia="华文楷体"/>
          <w:sz w:val="24"/>
        </w:rPr>
        <w:t>风险提示: 逆变器海外竞争、认证周期、价格波动和海外政策壁垒需持续跟踪。</w:t>
      </w:r>
    </w:p>
    <w:p>
      <w:pPr>
        <w:pStyle w:val="Heading2"/>
      </w:pPr>
      <w:r>
        <w:rPr>
          <w:rFonts w:ascii="华文楷体" w:hAnsi="华文楷体" w:eastAsia="华文楷体"/>
        </w:rPr>
        <w:t>企业名称：浙江南都电源动力股份有限公司</w:t>
      </w:r>
    </w:p>
    <w:p>
      <w:pPr>
        <w:pStyle w:val="ListBullet"/>
      </w:pPr>
      <w:r>
        <w:t>推荐等级： 高</w:t>
      </w:r>
    </w:p>
    <w:p>
      <w:pPr>
        <w:pStyle w:val="ListBullet"/>
      </w:pPr>
      <w:r>
        <w:t>所属行业： 储能电池/系统集成/铅锂回收</w:t>
      </w:r>
    </w:p>
    <w:p>
      <w:pPr>
        <w:pStyle w:val="ListBullet"/>
      </w:pPr>
      <w:r>
        <w:t>所在地区： 杭州</w:t>
      </w:r>
    </w:p>
    <w:p>
      <w:pPr>
        <w:pStyle w:val="ListBullet"/>
      </w:pPr>
      <w:r>
        <w:t>产业链位置： 中游制造/系统集成</w:t>
      </w:r>
    </w:p>
    <w:p>
      <w:pPr>
        <w:pStyle w:val="ListBullet"/>
      </w:pPr>
      <w:r>
        <w:t>推荐方向： 流动资金 / 项目融资 / 票据 / 供应链金融 / 现金管理</w:t>
      </w:r>
    </w:p>
    <w:p>
      <w:r>
        <w:rPr>
          <w:rFonts w:ascii="华文楷体" w:hAnsi="华文楷体" w:eastAsia="华文楷体"/>
          <w:sz w:val="24"/>
        </w:rPr>
        <w:t>企业关键信息:</w:t>
      </w:r>
    </w:p>
    <w:p>
      <w:pPr>
        <w:pStyle w:val="ListBullet"/>
      </w:pPr>
      <w:r>
        <w:t>基本情况: 公司位于杭州，业务覆盖通信及数据中心后备电源、储能系统、锂电与回收等领域，是浙江储能链条重要企业。</w:t>
      </w:r>
    </w:p>
    <w:p>
      <w:pPr>
        <w:pStyle w:val="ListBullet"/>
      </w:pPr>
      <w:r>
        <w:t>高层与团队背景: 公开信息显示朱保义曾任董事长兼总经理并有减持计划披露；现任治理结构和核心技术团队需以最新公告核实。学校、导师等细节未披露/待核实。</w:t>
      </w:r>
    </w:p>
    <w:p>
      <w:pPr>
        <w:pStyle w:val="ListBullet"/>
      </w:pPr>
      <w:r>
        <w:t>银行关注点: 储能项目交付通常存在设备采购、项目回款、质保金和应收账款占用，适合做订单、票据、保理和现金管理。</w:t>
      </w:r>
    </w:p>
    <w:p>
      <w:r>
        <w:rPr>
          <w:rFonts w:ascii="华文楷体" w:hAnsi="华文楷体" w:eastAsia="华文楷体"/>
          <w:sz w:val="24"/>
        </w:rPr>
        <w:t>推荐理由:</w:t>
      </w:r>
    </w:p>
    <w:p>
      <w:r>
        <w:rPr>
          <w:rFonts w:ascii="华文楷体" w:hAnsi="华文楷体" w:eastAsia="华文楷体"/>
          <w:sz w:val="24"/>
        </w:rPr>
        <w:t>- 储能电芯和系统需求高景气，AIDC储能、工商业储能和多用户绿电直连带来项目机会。</w:t>
      </w:r>
    </w:p>
    <w:p>
      <w:r>
        <w:rPr>
          <w:rFonts w:ascii="华文楷体" w:hAnsi="华文楷体" w:eastAsia="华文楷体"/>
          <w:sz w:val="24"/>
        </w:rPr>
        <w:t>- 杭州具备储能系统和数字能源应用场景，企业可承接园区储能、数据中心备电和海外储能需求。</w:t>
      </w:r>
    </w:p>
    <w:p>
      <w:r>
        <w:rPr>
          <w:rFonts w:ascii="华文楷体" w:hAnsi="华文楷体" w:eastAsia="华文楷体"/>
          <w:sz w:val="24"/>
        </w:rPr>
        <w:t>- 储能项目资金占用大，银行产品可直接服务交付周期。</w:t>
      </w:r>
    </w:p>
    <w:p>
      <w:r>
        <w:rPr>
          <w:rFonts w:ascii="华文楷体" w:hAnsi="华文楷体" w:eastAsia="华文楷体"/>
          <w:sz w:val="24"/>
        </w:rPr>
        <w:t>银行展业机会:</w:t>
      </w:r>
    </w:p>
    <w:p>
      <w:r>
        <w:rPr>
          <w:rFonts w:ascii="华文楷体" w:hAnsi="华文楷体" w:eastAsia="华文楷体"/>
          <w:sz w:val="24"/>
        </w:rPr>
        <w:t>储能系统订单增加 → 电芯采购和项目垫资需求 → 短贷、国内信用证、银票贴现、订单融资；下游账期拉长 → 付融通、保理、商票e贴；项目型交付 → 平安租赁、科技创新和技术更新改造再贷款、数字财资。</w:t>
      </w:r>
    </w:p>
    <w:p>
      <w:r>
        <w:rPr>
          <w:rFonts w:ascii="华文楷体" w:hAnsi="华文楷体" w:eastAsia="华文楷体"/>
          <w:sz w:val="24"/>
        </w:rPr>
        <w:t>推荐产品组合: 建议以短贷/国内信用证和付融通为主推，解决采购付款和应收账款周转；配套数字财资、银票极速贴现和平安租赁，用于项目资金管理和设备融资。额度、期限、费率待沟通。</w:t>
      </w:r>
    </w:p>
    <w:p>
      <w:r>
        <w:rPr>
          <w:rFonts w:ascii="华文楷体" w:hAnsi="华文楷体" w:eastAsia="华文楷体"/>
          <w:sz w:val="24"/>
        </w:rPr>
        <w:t>客户经理切入话术: “储能项目普遍有采购垫资和回款周期，我们想从贵司今年重点项目清单入手，看看哪些订单可以用票据、国内证或保理降低资金占用。”</w:t>
      </w:r>
    </w:p>
    <w:p>
      <w:r>
        <w:rPr>
          <w:rFonts w:ascii="华文楷体" w:hAnsi="华文楷体" w:eastAsia="华文楷体"/>
          <w:sz w:val="24"/>
        </w:rPr>
        <w:t>风险提示: 储能价格竞争、项目回款、治理变动和减持事项需关注；需核实最新财报、订单质量和负债结构。</w:t>
      </w:r>
    </w:p>
    <w:p>
      <w:pPr>
        <w:pStyle w:val="Heading2"/>
      </w:pPr>
      <w:r>
        <w:rPr>
          <w:rFonts w:ascii="华文楷体" w:hAnsi="华文楷体" w:eastAsia="华文楷体"/>
        </w:rPr>
        <w:t>企业名称：运达能源科技集团股份有限公司</w:t>
      </w:r>
    </w:p>
    <w:p>
      <w:pPr>
        <w:pStyle w:val="ListBullet"/>
      </w:pPr>
      <w:r>
        <w:t>推荐等级： 中高</w:t>
      </w:r>
    </w:p>
    <w:p>
      <w:pPr>
        <w:pStyle w:val="ListBullet"/>
      </w:pPr>
      <w:r>
        <w:t>所属行业： 风电整机/新能源装备/综合能源</w:t>
      </w:r>
    </w:p>
    <w:p>
      <w:pPr>
        <w:pStyle w:val="ListBullet"/>
      </w:pPr>
      <w:r>
        <w:t>所在地区： 杭州</w:t>
      </w:r>
    </w:p>
    <w:p>
      <w:pPr>
        <w:pStyle w:val="ListBullet"/>
      </w:pPr>
      <w:r>
        <w:t>产业链位置： 中游整机/服务商</w:t>
      </w:r>
    </w:p>
    <w:p>
      <w:pPr>
        <w:pStyle w:val="ListBullet"/>
      </w:pPr>
      <w:r>
        <w:t>推荐方向： 项目融资 / 供应链金融 / 保函 / 票据 / 现金管理</w:t>
      </w:r>
    </w:p>
    <w:p>
      <w:r>
        <w:rPr>
          <w:rFonts w:ascii="华文楷体" w:hAnsi="华文楷体" w:eastAsia="华文楷体"/>
          <w:sz w:val="24"/>
        </w:rPr>
        <w:t>企业关键信息:</w:t>
      </w:r>
    </w:p>
    <w:p>
      <w:pPr>
        <w:pStyle w:val="ListBullet"/>
      </w:pPr>
      <w:r>
        <w:t>基本情况: 公司位于杭州，是风电整机和新能源装备企业，业务覆盖风机研发制造、项目服务和综合能源方向。</w:t>
      </w:r>
    </w:p>
    <w:p>
      <w:pPr>
        <w:pStyle w:val="ListBullet"/>
      </w:pPr>
      <w:r>
        <w:t>高层与团队背景: 公开官网信息显示陈棋为董事长；公司具有风电装备长期研发和项目交付积累。个人教育背景、导师和核心团队详细履历未披露/待核实。</w:t>
      </w:r>
    </w:p>
    <w:p>
      <w:pPr>
        <w:pStyle w:val="ListBullet"/>
      </w:pPr>
      <w:r>
        <w:t>银行关注点: 风电整机交付金额大、供应链长、质保和保函需求强，适合围绕核心企业做上下游批量金融。</w:t>
      </w:r>
    </w:p>
    <w:p>
      <w:r>
        <w:rPr>
          <w:rFonts w:ascii="华文楷体" w:hAnsi="华文楷体" w:eastAsia="华文楷体"/>
          <w:sz w:val="24"/>
        </w:rPr>
        <w:t>推荐理由:</w:t>
      </w:r>
    </w:p>
    <w:p>
      <w:r>
        <w:rPr>
          <w:rFonts w:ascii="华文楷体" w:hAnsi="华文楷体" w:eastAsia="华文楷体"/>
          <w:sz w:val="24"/>
        </w:rPr>
        <w:t>- 海上风电和海外风电建设加速，带动整机、塔筒、零部件和运维需求。</w:t>
      </w:r>
    </w:p>
    <w:p>
      <w:r>
        <w:rPr>
          <w:rFonts w:ascii="华文楷体" w:hAnsi="华文楷体" w:eastAsia="华文楷体"/>
          <w:sz w:val="24"/>
        </w:rPr>
        <w:t>- 公司位于杭州，具备链主属性，可带动浙江及长三角零部件供应商获客。</w:t>
      </w:r>
    </w:p>
    <w:p>
      <w:r>
        <w:rPr>
          <w:rFonts w:ascii="华文楷体" w:hAnsi="华文楷体" w:eastAsia="华文楷体"/>
          <w:sz w:val="24"/>
        </w:rPr>
        <w:t>- 风电项目天然需要保函、票据、订单融资和现金管理。</w:t>
      </w:r>
    </w:p>
    <w:p>
      <w:r>
        <w:rPr>
          <w:rFonts w:ascii="华文楷体" w:hAnsi="华文楷体" w:eastAsia="华文楷体"/>
          <w:sz w:val="24"/>
        </w:rPr>
        <w:t>银行展业机会:</w:t>
      </w:r>
    </w:p>
    <w:p>
      <w:r>
        <w:rPr>
          <w:rFonts w:ascii="华文楷体" w:hAnsi="华文楷体" w:eastAsia="华文楷体"/>
          <w:sz w:val="24"/>
        </w:rPr>
        <w:t>整机订单和项目交付 → 履约保函、预付款保函、银票、国内信用证；供应商付款和账期管理 → 付融通、商票保贴、订单融资；集团化资金管理 → 数字财资、资产池。</w:t>
      </w:r>
    </w:p>
    <w:p>
      <w:r>
        <w:rPr>
          <w:rFonts w:ascii="华文楷体" w:hAnsi="华文楷体" w:eastAsia="华文楷体"/>
          <w:sz w:val="24"/>
        </w:rPr>
        <w:t>推荐产品组合: 建议以境内保函/分离式保函和供应链金融为主推，配套银票极速贴现、付融通、数字财资，切入风电项目投标履约和供应商付款。额度和费率待沟通。</w:t>
      </w:r>
    </w:p>
    <w:p>
      <w:r>
        <w:rPr>
          <w:rFonts w:ascii="华文楷体" w:hAnsi="华文楷体" w:eastAsia="华文楷体"/>
          <w:sz w:val="24"/>
        </w:rPr>
        <w:t>客户经理切入话术: “风电项目从投标、采购到并网交付都有保函和票据场景，我们希望先梳理贵司重点项目和核心供应商名单，看能否做一套链主+供应商批量方案。”</w:t>
      </w:r>
    </w:p>
    <w:p>
      <w:r>
        <w:rPr>
          <w:rFonts w:ascii="华文楷体" w:hAnsi="华文楷体" w:eastAsia="华文楷体"/>
          <w:sz w:val="24"/>
        </w:rPr>
        <w:t>风险提示: 风电项目回款、招标价格下行、原材料价格和海外项目交付风险需核实。</w:t>
      </w:r>
    </w:p>
    <w:p>
      <w:pPr>
        <w:pStyle w:val="Heading2"/>
      </w:pPr>
      <w:r>
        <w:rPr>
          <w:rFonts w:ascii="华文楷体" w:hAnsi="华文楷体" w:eastAsia="华文楷体"/>
        </w:rPr>
        <w:t>企业名称：宁波容百新能源科技股份有限公司</w:t>
      </w:r>
    </w:p>
    <w:p>
      <w:pPr>
        <w:pStyle w:val="ListBullet"/>
      </w:pPr>
      <w:r>
        <w:t>推荐等级： 中</w:t>
      </w:r>
    </w:p>
    <w:p>
      <w:pPr>
        <w:pStyle w:val="ListBullet"/>
      </w:pPr>
      <w:r>
        <w:t>所属行业： 锂电正极材料</w:t>
      </w:r>
    </w:p>
    <w:p>
      <w:pPr>
        <w:pStyle w:val="ListBullet"/>
      </w:pPr>
      <w:r>
        <w:t>所在地区： 宁波/余姚</w:t>
      </w:r>
    </w:p>
    <w:p>
      <w:pPr>
        <w:pStyle w:val="ListBullet"/>
      </w:pPr>
      <w:r>
        <w:t>产业链位置： 上游材料</w:t>
      </w:r>
    </w:p>
    <w:p>
      <w:pPr>
        <w:pStyle w:val="ListBullet"/>
      </w:pPr>
      <w:r>
        <w:t>推荐方向： 流动资金 / 供应链金融 / 票据 / 跨境结算 / 风险审慎跟进</w:t>
      </w:r>
    </w:p>
    <w:p>
      <w:r>
        <w:rPr>
          <w:rFonts w:ascii="华文楷体" w:hAnsi="华文楷体" w:eastAsia="华文楷体"/>
          <w:sz w:val="24"/>
        </w:rPr>
        <w:t>企业关键信息:</w:t>
      </w:r>
    </w:p>
    <w:p>
      <w:pPr>
        <w:pStyle w:val="ListBullet"/>
      </w:pPr>
      <w:r>
        <w:t>基本情况: 公司成立于2014年，位于宁波余姚，主营锂电池正极材料及前驱体，聚焦三元正极材料动力电池应用。</w:t>
      </w:r>
    </w:p>
    <w:p>
      <w:pPr>
        <w:pStyle w:val="ListBullet"/>
      </w:pPr>
      <w:r>
        <w:t>高层与团队背景: 创始人、董事长兼总经理白厚善长期从事锂电材料产业；公开行政处罚资料显示其为公司董事长、总经理。学校、导师等个人教育信息未披露/待核实。</w:t>
      </w:r>
    </w:p>
    <w:p>
      <w:pPr>
        <w:pStyle w:val="ListBullet"/>
      </w:pPr>
      <w:r>
        <w:t>银行关注点: 正极材料企业资金占用大、客户集中度和价格波动敏感，同时近期存在监管处罚信息，建议审慎跟进、先做结算和低风险产品。</w:t>
      </w:r>
    </w:p>
    <w:p>
      <w:r>
        <w:rPr>
          <w:rFonts w:ascii="华文楷体" w:hAnsi="华文楷体" w:eastAsia="华文楷体"/>
          <w:sz w:val="24"/>
        </w:rPr>
        <w:t>推荐理由:</w:t>
      </w:r>
    </w:p>
    <w:p>
      <w:r>
        <w:rPr>
          <w:rFonts w:ascii="华文楷体" w:hAnsi="华文楷体" w:eastAsia="华文楷体"/>
          <w:sz w:val="24"/>
        </w:rPr>
        <w:t>- 储能和动力电池需求回暖带动正极材料链条订单修复。</w:t>
      </w:r>
    </w:p>
    <w:p>
      <w:r>
        <w:rPr>
          <w:rFonts w:ascii="华文楷体" w:hAnsi="华文楷体" w:eastAsia="华文楷体"/>
          <w:sz w:val="24"/>
        </w:rPr>
        <w:t>- 宁波具备锂电材料和外贸产业基础，企业处于产业链关键上游。</w:t>
      </w:r>
    </w:p>
    <w:p>
      <w:r>
        <w:rPr>
          <w:rFonts w:ascii="华文楷体" w:hAnsi="华文楷体" w:eastAsia="华文楷体"/>
          <w:sz w:val="24"/>
        </w:rPr>
        <w:t>- 材料采购、库存和应收账款形成真实融资需求，但需严格风控。</w:t>
      </w:r>
    </w:p>
    <w:p>
      <w:r>
        <w:rPr>
          <w:rFonts w:ascii="华文楷体" w:hAnsi="华文楷体" w:eastAsia="华文楷体"/>
          <w:sz w:val="24"/>
        </w:rPr>
        <w:t>银行展业机会:</w:t>
      </w:r>
    </w:p>
    <w:p>
      <w:r>
        <w:rPr>
          <w:rFonts w:ascii="华文楷体" w:hAnsi="华文楷体" w:eastAsia="华文楷体"/>
          <w:sz w:val="24"/>
        </w:rPr>
        <w:t>原料采购和库存周转 → 短贷、银票、国内信用证；大客户账期 → 保理、商票贴现、付融通；若有海外业务 → 跨境结算和外币存款。鉴于公开处罚信息，建议从现金管理、票据和结算等低风险业务先行。</w:t>
      </w:r>
    </w:p>
    <w:p>
      <w:r>
        <w:rPr>
          <w:rFonts w:ascii="华文楷体" w:hAnsi="华文楷体" w:eastAsia="华文楷体"/>
          <w:sz w:val="24"/>
        </w:rPr>
        <w:t>推荐产品组合: 建议以数字财资和银票极速贴现为主推，先切入资金管理和票据周转；在核实财报、处罚整改和客户结构后，再配套短贷、国内信用证或保理。额度、期限和准入条件待沟通。</w:t>
      </w:r>
    </w:p>
    <w:p>
      <w:r>
        <w:rPr>
          <w:rFonts w:ascii="华文楷体" w:hAnsi="华文楷体" w:eastAsia="华文楷体"/>
          <w:sz w:val="24"/>
        </w:rPr>
        <w:t>客户经理切入话术: “我们关注到锂电材料链条有修复信号，也注意到材料企业资金占用较高。我们可以先从票据、结算和资金管理做低风险合作，再根据贵司订单和回款情况评估授信方案。”</w:t>
      </w:r>
    </w:p>
    <w:p>
      <w:r>
        <w:rPr>
          <w:rFonts w:ascii="华文楷体" w:hAnsi="华文楷体" w:eastAsia="华文楷体"/>
          <w:sz w:val="24"/>
        </w:rPr>
        <w:t>风险提示: 已有公开监管处罚信息，需核实整改进展；同时关注镍钴锂价格、客户集中、存货跌价和现金流波动。</w:t>
      </w:r>
    </w:p>
    <w:p>
      <w:pPr>
        <w:pStyle w:val="Heading1"/>
      </w:pPr>
      <w:r>
        <w:rPr>
          <w:rFonts w:ascii="华文楷体" w:hAnsi="华文楷体" w:eastAsia="华文楷体"/>
        </w:rPr>
        <w:t>四、客户经理行动建议</w:t>
      </w:r>
    </w:p>
    <w:p>
      <w:pPr>
        <w:pStyle w:val="ListNumber"/>
      </w:pPr>
      <w:r>
        <w:t>1. 本周优先拜访杭州禾迈电力电子股份有限公司、锦浪科技股份有限公司、浙江南都电源动力股份有限公司，先从海外回款、备货采购、票据贴现和应收账款周转切入。</w:t>
      </w:r>
    </w:p>
    <w:p>
      <w:pPr>
        <w:pStyle w:val="ListNumber"/>
      </w:pPr>
      <w:r>
        <w:t>2. 对运达能源科技集团股份有限公司，建议联动交易银行和供应链金融产品经理，围绕风电项目保函、核心供应商付款和资产池设计方案。</w:t>
      </w:r>
    </w:p>
    <w:p>
      <w:pPr>
        <w:pStyle w:val="ListNumber"/>
      </w:pPr>
      <w:r>
        <w:t>3. 对宁波容百新能源科技股份有限公司，建议审慎跟进，先做结算、票据和现金管理，授信前重点核实监管处罚整改、客户集中度、存货和应收账款。</w:t>
      </w:r>
    </w:p>
    <w:p>
      <w:pPr>
        <w:pStyle w:val="ListNumber"/>
      </w:pPr>
      <w:r>
        <w:t>4. 客户经理扫客可围绕“园区绿电直连/工商业储能/出口逆变器/风电供应链”四个场景准备标准话术和产品清单。</w:t>
      </w:r>
    </w:p>
    <w:p>
      <w:pPr>
        <w:pStyle w:val="ListNumber"/>
      </w:pPr>
      <w:r>
        <w:t>5. 内部建议准备三套方案包：跨境结算+平安避险，票据/付融通+订单融资，项目融资+平安租赁+数字财资。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华文楷体" w:hAnsi="华文楷体" w:eastAsia="华文楷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华文楷体" w:hAnsi="华文楷体" w:eastAsia="华文楷体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华文楷体" w:hAnsi="华文楷体" w:eastAsia="华文楷体"/>
      <w:sz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华文楷体" w:hAnsi="华文楷体" w:eastAsia="华文楷体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华文楷体" w:hAnsi="华文楷体" w:eastAsia="华文楷体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华文楷体" w:hAnsi="华文楷体" w:eastAsia="华文楷体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华文楷体" w:hAnsi="华文楷体" w:eastAsia="华文楷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华文楷体" w:hAnsi="华文楷体" w:eastAsia="华文楷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华文楷体" w:hAnsi="华文楷体" w:eastAsia="华文楷体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华文楷体" w:hAnsi="华文楷体" w:eastAsia="华文楷体"/>
      <w:color w:val="243F60" w:themeColor="accent1" w:themeShade="7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华文楷体" w:hAnsi="华文楷体" w:eastAsia="华文楷体"/>
      <w:i/>
      <w:iCs/>
      <w:color w:val="243F60" w:themeColor="accent1" w:themeShade="7F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华文楷体" w:hAnsi="华文楷体" w:eastAsia="华文楷体"/>
      <w:i/>
      <w:iCs/>
      <w:color w:val="404040" w:themeColor="text1" w:themeTint="BF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华文楷体" w:hAnsi="华文楷体" w:eastAsia="华文楷体"/>
      <w:color w:val="4F81BD" w:themeColor="accent1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华文楷体" w:hAnsi="华文楷体" w:eastAsia="华文楷体"/>
      <w:i/>
      <w:iCs/>
      <w:color w:val="404040" w:themeColor="text1" w:themeTint="BF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华文楷体" w:hAnsi="华文楷体" w:eastAsia="华文楷体"/>
      <w:sz w:val="24"/>
    </w:rPr>
  </w:style>
  <w:style w:type="table" w:default="1" w:styleId="TableNormal">
    <w:name w:val="Normal Table"/>
    <w:uiPriority w:val="99"/>
    <w:semiHidden/>
    <w:unhideWhenUsed/>
    <w:rPr>
      <w:rFonts w:ascii="华文楷体" w:hAnsi="华文楷体" w:eastAsia="华文楷体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华文楷体" w:hAnsi="华文楷体" w:eastAsia="华文楷体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华文楷体" w:hAnsi="华文楷体" w:eastAsia="华文楷体"/>
      <w:b/>
      <w:bCs/>
      <w:color w:val="365F91" w:themeColor="accent1" w:themeShade="BF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华文楷体" w:hAnsi="华文楷体" w:eastAsia="华文楷体"/>
      <w:b/>
      <w:bCs/>
      <w:color w:val="4F81BD" w:themeColor="accen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华文楷体" w:hAnsi="华文楷体" w:eastAsia="华文楷体"/>
      <w:b/>
      <w:bCs/>
      <w:color w:val="4F81BD" w:themeColor="accent1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华文楷体" w:hAnsi="华文楷体" w:eastAsia="华文楷体"/>
      <w:color w:val="17365D" w:themeColor="text2" w:themeShade="BF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华文楷体" w:hAnsi="华文楷体" w:eastAsia="华文楷体"/>
      <w:color w:val="17365D" w:themeColor="text2" w:themeShade="BF"/>
      <w:spacing w:val="5"/>
      <w:kern w:val="28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华文楷体" w:hAnsi="华文楷体" w:eastAsia="华文楷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华文楷体" w:hAnsi="华文楷体" w:eastAsia="华文楷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华文楷体" w:hAnsi="华文楷体" w:eastAsia="华文楷体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华文楷体" w:hAnsi="华文楷体" w:eastAsia="华文楷体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华文楷体" w:hAnsi="华文楷体" w:eastAsia="华文楷体"/>
      <w:sz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华文楷体" w:hAnsi="华文楷体" w:eastAsia="华文楷体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华文楷体" w:hAnsi="华文楷体" w:eastAsia="华文楷体"/>
      <w:sz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华文楷体" w:hAnsi="华文楷体" w:eastAsia="华文楷体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华文楷体" w:hAnsi="华文楷体" w:eastAsia="华文楷体"/>
      <w:sz w:val="24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华文楷体" w:hAnsi="华文楷体" w:eastAsia="华文楷体"/>
      <w:sz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华文楷体" w:hAnsi="华文楷体" w:eastAsia="华文楷体"/>
      <w:sz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华文楷体" w:hAnsi="华文楷体" w:eastAsia="华文楷体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华文楷体" w:hAnsi="华文楷体" w:eastAsia="华文楷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华文楷体" w:hAnsi="华文楷体" w:eastAsia="华文楷体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华文楷体" w:hAnsi="华文楷体" w:eastAsia="华文楷体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华文楷体" w:hAnsi="华文楷体" w:eastAsia="华文楷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华文楷体" w:hAnsi="华文楷体" w:eastAsia="华文楷体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华文楷体" w:hAnsi="华文楷体" w:eastAsia="华文楷体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华文楷体" w:hAnsi="华文楷体" w:eastAsia="华文楷体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华文楷体" w:hAnsi="华文楷体" w:eastAsia="华文楷体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华文楷体" w:hAnsi="华文楷体" w:eastAsia="华文楷体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华文楷体" w:hAnsi="华文楷体" w:eastAsia="华文楷体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华文楷体" w:hAnsi="华文楷体" w:eastAsia="华文楷体"/>
      <w:sz w:val="24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华文楷体" w:hAnsi="华文楷体" w:eastAsia="华文楷体"/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华文楷体" w:hAnsi="华文楷体" w:eastAsia="华文楷体"/>
      <w:i/>
      <w:iCs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华文楷体" w:hAnsi="华文楷体" w:eastAsia="华文楷体"/>
      <w:b/>
      <w:bCs/>
      <w:i/>
      <w:iCs/>
      <w:color w:val="4F81BD" w:themeColor="accen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华文楷体" w:hAnsi="华文楷体" w:eastAsia="华文楷体"/>
      <w:color w:val="243F60" w:themeColor="accent1" w:themeShade="7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华文楷体" w:hAnsi="华文楷体" w:eastAsia="华文楷体"/>
      <w:i/>
      <w:iCs/>
      <w:color w:val="243F60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华文楷体" w:hAnsi="华文楷体" w:eastAsia="华文楷体"/>
      <w:i/>
      <w:iCs/>
      <w:color w:val="404040" w:themeColor="text1" w:themeTint="B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华文楷体" w:hAnsi="华文楷体" w:eastAsia="华文楷体"/>
      <w:color w:val="4F81BD" w:themeColor="accent1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华文楷体" w:hAnsi="华文楷体" w:eastAsia="华文楷体"/>
      <w:i/>
      <w:iCs/>
      <w:color w:val="404040" w:themeColor="text1" w:themeTint="BF"/>
      <w:sz w:val="24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华文楷体" w:hAnsi="华文楷体" w:eastAsia="华文楷体"/>
      <w:b/>
      <w:bCs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华文楷体" w:hAnsi="华文楷体" w:eastAsia="华文楷体"/>
      <w:b/>
      <w:bCs/>
      <w:sz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华文楷体" w:hAnsi="华文楷体" w:eastAsia="华文楷体"/>
      <w:i/>
      <w:iCs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华文楷体" w:hAnsi="华文楷体" w:eastAsia="华文楷体"/>
      <w:b/>
      <w:bCs/>
      <w:i/>
      <w:iCs/>
      <w:color w:val="4F81BD" w:themeColor="accent1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华文楷体" w:hAnsi="华文楷体" w:eastAsia="华文楷体"/>
      <w:b/>
      <w:bCs/>
      <w:i/>
      <w:iCs/>
      <w:color w:val="4F81BD" w:themeColor="accent1"/>
      <w:sz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华文楷体" w:hAnsi="华文楷体" w:eastAsia="华文楷体"/>
      <w:i/>
      <w:iCs/>
      <w:color w:val="808080" w:themeColor="text1" w:themeTint="7F"/>
      <w:sz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华文楷体" w:hAnsi="华文楷体" w:eastAsia="华文楷体"/>
      <w:b/>
      <w:bCs/>
      <w:i/>
      <w:iCs/>
      <w:color w:val="4F81BD" w:themeColor="accent1"/>
      <w:sz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华文楷体" w:hAnsi="华文楷体" w:eastAsia="华文楷体"/>
      <w:smallCaps/>
      <w:color w:val="C0504D" w:themeColor="accent2"/>
      <w:sz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华文楷体" w:hAnsi="华文楷体" w:eastAsia="华文楷体"/>
      <w:b/>
      <w:bCs/>
      <w:smallCaps/>
      <w:color w:val="C0504D" w:themeColor="accent2"/>
      <w:spacing w:val="5"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华文楷体" w:hAnsi="华文楷体" w:eastAsia="华文楷体"/>
      <w:b/>
      <w:bCs/>
      <w:smallCaps/>
      <w:spacing w:val="5"/>
      <w:sz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华文楷体" w:hAnsi="华文楷体" w:eastAsia="华文楷体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华文楷体" w:hAnsi="华文楷体" w:eastAsia="华文楷体"/>
      <w:sz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华文楷体" w:hAnsi="华文楷体" w:eastAsia="华文楷体"/>
      <w:color w:val="000000" w:themeColor="text1" w:themeShade="BF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华文楷体" w:hAnsi="华文楷体" w:eastAsia="华文楷体"/>
      <w:color w:val="365F91" w:themeColor="accent1" w:themeShade="BF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华文楷体" w:hAnsi="华文楷体" w:eastAsia="华文楷体"/>
      <w:color w:val="943634" w:themeColor="accent2" w:themeShade="BF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华文楷体" w:hAnsi="华文楷体" w:eastAsia="华文楷体"/>
      <w:color w:val="76923C" w:themeColor="accent3" w:themeShade="BF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华文楷体" w:hAnsi="华文楷体" w:eastAsia="华文楷体"/>
      <w:color w:val="5F497A" w:themeColor="accent4" w:themeShade="BF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华文楷体" w:hAnsi="华文楷体" w:eastAsia="华文楷体"/>
      <w:color w:val="31849B" w:themeColor="accent5" w:themeShade="BF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华文楷体" w:hAnsi="华文楷体" w:eastAsia="华文楷体"/>
      <w:color w:val="E36C0A" w:themeColor="accent6" w:themeShade="BF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华文楷体" w:hAnsi="华文楷体" w:eastAsia="华文楷体"/>
      <w:sz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华文楷体" w:hAnsi="华文楷体" w:eastAsia="华文楷体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华文楷体" w:hAnsi="华文楷体" w:eastAsia="华文楷体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华文楷体" w:hAnsi="华文楷体" w:eastAsia="华文楷体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华文楷体" w:hAnsi="华文楷体" w:eastAsia="华文楷体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华文楷体" w:hAnsi="华文楷体" w:eastAsia="华文楷体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华文楷体" w:hAnsi="华文楷体" w:eastAsia="华文楷体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华文楷体" w:hAnsi="华文楷体" w:eastAsia="华文楷体"/>
      <w:color w:val="FFFFFF" w:themeColor="background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华文楷体" w:hAnsi="华文楷体" w:eastAsia="华文楷体"/>
      <w:color w:val="000000" w:themeColor="text1"/>
      <w:sz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