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华文楷体" w:hAnsi="华文楷体" w:eastAsia="华文楷体"/>
          <w:color w:val="003366"/>
          <w:sz w:val="44"/>
        </w:rPr>
        <w:t>生物医药行业商机周报</w:t>
      </w:r>
    </w:p>
    <w:p>
      <w:pPr>
        <w:jc w:val="center"/>
      </w:pPr>
      <w:r>
        <w:rPr>
          <w:rFonts w:ascii="华文楷体" w:hAnsi="华文楷体" w:eastAsia="华文楷体"/>
          <w:color w:val="808080"/>
          <w:sz w:val="22"/>
        </w:rPr>
        <w:t>覆盖周期：2026年5月14日 — 5月20日 | 聚焦浙江</w:t>
      </w:r>
    </w:p>
    <w:p>
      <w:pPr>
        <w:jc w:val="center"/>
      </w:pPr>
      <w:r>
        <w:rPr>
          <w:rFonts w:ascii="华文楷体" w:hAnsi="华文楷体" w:eastAsia="华文楷体"/>
          <w:color w:val="A0A0A0"/>
          <w:sz w:val="18"/>
        </w:rPr>
        <w:t>资料来源：财联社、新华网、36氪、生物谷、药智网、iFinD、searxng搜索</w:t>
      </w:r>
    </w:p>
    <w:p/>
    <w:p>
      <w:pPr>
        <w:pStyle w:val="Heading1"/>
      </w:pPr>
      <w:r>
        <w:rPr>
          <w:rFonts w:ascii="华文楷体" w:hAnsi="华文楷体" w:eastAsia="华文楷体"/>
          <w:color w:val="003366"/>
        </w:rPr>
        <w:t>一、行业动态与发展总结</w:t>
      </w:r>
    </w:p>
    <w:p>
      <w:pPr>
        <w:pStyle w:val="Heading2"/>
      </w:pPr>
      <w:r>
        <w:rPr>
          <w:rFonts w:ascii="华文楷体" w:hAnsi="华文楷体" w:eastAsia="华文楷体"/>
        </w:rPr>
        <w:t>（一）近期政策变动</w:t>
      </w:r>
    </w:p>
    <w:p>
      <w:r>
        <w:rPr>
          <w:rFonts w:ascii="华文楷体" w:hAnsi="华文楷体" w:eastAsia="华文楷体"/>
          <w:b/>
          <w:sz w:val="22"/>
        </w:rPr>
        <w:t>1. 上海医保"定额报销"新规（5月18日）</w:t>
      </w:r>
    </w:p>
    <w:p>
      <w:r>
        <w:rPr>
          <w:rFonts w:ascii="华文楷体" w:hAnsi="华文楷体" w:eastAsia="华文楷体"/>
          <w:sz w:val="22"/>
        </w:rPr>
        <w:t>上海医保推出"定额报销"新规，集采政策下医院优先采购集采中选药，限制原研药进货比例，医生须完成集采药使用任务才能开具原研药处方。DRG/DIP模式给每种疾病定了"打包价"，治疗费超支由医院自行承担。这一政策变化对创新药企进入医院渠道提出了更高要求，原研药和高价创新药的院内可及性可能受到压缩。</w:t>
      </w:r>
    </w:p>
    <w:p>
      <w:r>
        <w:rPr>
          <w:rFonts w:ascii="华文楷体" w:hAnsi="华文楷体" w:eastAsia="华文楷体"/>
          <w:b/>
          <w:sz w:val="22"/>
        </w:rPr>
        <w:t>2. 高值耗材集采加速落地（6月5日起）</w:t>
      </w:r>
    </w:p>
    <w:p>
      <w:r>
        <w:rPr>
          <w:rFonts w:ascii="华文楷体" w:hAnsi="华文楷体" w:eastAsia="华文楷体"/>
          <w:sz w:val="22"/>
        </w:rPr>
        <w:t>6月5日起，1类高值耗材集采将开始落地，同时有20款医疗器械进入创新通道。集采范围从高值耗材向更多品类延伸，对医疗器械企业价格体系和利润空间将产生直接冲击，但创新通道的开放也为具备差异化技术优势的企业提供了政策红利。</w:t>
      </w:r>
    </w:p>
    <w:p>
      <w:r>
        <w:rPr>
          <w:rFonts w:ascii="华文楷体" w:hAnsi="华文楷体" w:eastAsia="华文楷体"/>
          <w:b/>
          <w:sz w:val="22"/>
        </w:rPr>
        <w:t>3. 第二届"加强医保商保有效衔接，支持创新药械发展"会议（5月17日）</w:t>
      </w:r>
    </w:p>
    <w:p>
      <w:r>
        <w:rPr>
          <w:rFonts w:ascii="华文楷体" w:hAnsi="华文楷体" w:eastAsia="华文楷体"/>
          <w:sz w:val="22"/>
        </w:rPr>
        <w:t>5月17日在上海举办，由多机构联合主办、艾社康承办。会议探讨医保与商保协同衔接机制，探索自费流感疫苗等纳入医保报销路径。自费流感冒疫苗也可医保报销的趋势，对疫苗企业（如康希诺等）是积极信号。</w:t>
      </w:r>
    </w:p>
    <w:p>
      <w:r>
        <w:rPr>
          <w:rFonts w:ascii="华文楷体" w:hAnsi="华文楷体" w:eastAsia="华文楷体"/>
          <w:b/>
          <w:sz w:val="22"/>
        </w:rPr>
        <w:t>政策综合影响闭环：</w:t>
      </w:r>
    </w:p>
    <w:p>
      <w:r>
        <w:rPr>
          <w:rFonts w:ascii="华文楷体" w:hAnsi="华文楷体" w:eastAsia="华文楷体"/>
          <w:sz w:val="22"/>
        </w:rPr>
        <w:t>集采和DRG/DIP政策持续深化，医药行业"以价换量"逻辑进一步强化。对银行而言，一方面集采中选企业的现金流确定性提升，适合供应链金融和应收账款融资；另一方面，未中选企业和高价创新药企业面临更大的市场准入压力，融资需求可能转向研发管线融资和跨境License-out。医保商保衔接政策则为商业保险与医保的协同创造了空间，相关保险科技企业和健康管理平台存在业务机会。</w:t>
      </w:r>
    </w:p>
    <w:p>
      <w:pPr>
        <w:pStyle w:val="Heading2"/>
      </w:pPr>
      <w:r>
        <w:rPr>
          <w:rFonts w:ascii="华文楷体" w:hAnsi="华文楷体" w:eastAsia="华文楷体"/>
        </w:rPr>
        <w:t>（二）行业发展趋势</w:t>
      </w:r>
    </w:p>
    <w:p>
      <w:r>
        <w:rPr>
          <w:rFonts w:ascii="华文楷体" w:hAnsi="华文楷体" w:eastAsia="华文楷体"/>
          <w:b/>
          <w:sz w:val="22"/>
        </w:rPr>
        <w:t>1. 生物制品研发管线超越化药，创新药进入加速期</w:t>
      </w:r>
    </w:p>
    <w:p>
      <w:r>
        <w:rPr>
          <w:rFonts w:ascii="华文楷体" w:hAnsi="华文楷体" w:eastAsia="华文楷体"/>
          <w:sz w:val="22"/>
        </w:rPr>
        <w:t>4月CDE受理注册申请1802个受理号、1383个品种，完成审评审批1729个受理号、1339个品种。其中生物制品IND申请91个，与化药IND申请92个仅差1个品种，生物制品研发管线持续扩容。截至2026年4月底，生物制品IND申请已达403个品种，比化药的382个多21个。整体审评通过率88.9%。国家鼓励创新药研发的信号明确，但未降低药品安全有效底线，4月创新药上市审批批准率62.5%。</w:t>
      </w:r>
    </w:p>
    <w:p>
      <w:r>
        <w:rPr>
          <w:rFonts w:ascii="华文楷体" w:hAnsi="华文楷体" w:eastAsia="华文楷体"/>
          <w:b/>
          <w:sz w:val="22"/>
        </w:rPr>
        <w:t>2. CXO行业内外需共振向上，净利暴增85%</w:t>
      </w:r>
    </w:p>
    <w:p>
      <w:r>
        <w:rPr>
          <w:rFonts w:ascii="华文楷体" w:hAnsi="华文楷体" w:eastAsia="华文楷体"/>
          <w:sz w:val="22"/>
        </w:rPr>
        <w:t>国金证券5月14日报告显示，2026年海外头部CXO企业收入指引仍维持稳健小幅增长格局，全球生物医药投融资逐步回暖，创新药研发需求稳步复苏。2025年CXO行业30家A股上市公司营收、净利润同比分别增长12.75%和85.11%，整体走出2024年业绩低谷。小核酸药物赛道热度持续攀升，研发管线布局加速落地，有望持续拉动上游生产需求。2026年一季度CXO板块归母净利增速达23.1%，增长突出。</w:t>
      </w:r>
    </w:p>
    <w:p>
      <w:r>
        <w:rPr>
          <w:rFonts w:ascii="华文楷体" w:hAnsi="华文楷体" w:eastAsia="华文楷体"/>
          <w:b/>
          <w:sz w:val="22"/>
        </w:rPr>
        <w:t>3. ADC/双抗/细胞治疗前沿赛道加速</w:t>
      </w:r>
    </w:p>
    <w:p>
      <w:r>
        <w:rPr>
          <w:rFonts w:ascii="华文楷体" w:hAnsi="华文楷体" w:eastAsia="华文楷体"/>
          <w:sz w:val="22"/>
        </w:rPr>
        <w:t>恒瑞医药全球首创EGFR/B7-H3双靶ADC药物FH-006再获CDE受理新适应症（肺鳞癌），采用"双特异性抗体+新型拓扑异构酶I抑制剂"创新设计，处于II期临床阶段。恒瑞ADC管线全面扩容：SHR-A1811（HER2 ADC）已提交NDA并纳入优先审评，SHR-A1921（TROP2 ADC）处于III期临床。艾伯维CD3/CD20双抗在国内获批上市。启函生物通用型双靶点CAR-T产品QT-019C获FDA的IND批准。Enhertu获双FDA批准。ADC、双抗、细胞治疗正逐步取代传统小分子药物的中心地位。</w:t>
      </w:r>
    </w:p>
    <w:p>
      <w:r>
        <w:rPr>
          <w:rFonts w:ascii="华文楷体" w:hAnsi="华文楷体" w:eastAsia="华文楷体"/>
          <w:b/>
          <w:sz w:val="22"/>
        </w:rPr>
        <w:t>4. AI制药进入兑现期，最大单笔融资143亿元</w:t>
      </w:r>
    </w:p>
    <w:p>
      <w:r>
        <w:rPr>
          <w:rFonts w:ascii="华文楷体" w:hAnsi="华文楷体" w:eastAsia="华文楷体"/>
          <w:sz w:val="22"/>
        </w:rPr>
        <w:t>AI制药领域获得143亿元融资，为迄今最大单笔融资。AI制药产业链从上游（算力、算法、数据）到中游（AI药物研发平台、AI+CRO）再到下游（传统药企、创新药企和CXO公司）全面布局。竞争壁垒正从单点算法能力转向"数据+模型+实验+临床转化"的闭环能力。36氪报道显示，全球78家AI+新药研发创新企业中已有53家获得融资，累计融资总额达13.1亿美元。</w:t>
      </w:r>
    </w:p>
    <w:p>
      <w:pPr>
        <w:pStyle w:val="Heading2"/>
      </w:pPr>
      <w:r>
        <w:rPr>
          <w:rFonts w:ascii="华文楷体" w:hAnsi="华文楷体" w:eastAsia="华文楷体"/>
        </w:rPr>
        <w:t>（三）上下游产业链动态</w:t>
      </w:r>
    </w:p>
    <w:p>
      <w:r>
        <w:rPr>
          <w:rFonts w:ascii="华文楷体" w:hAnsi="华文楷体" w:eastAsia="华文楷体"/>
          <w:sz w:val="22"/>
        </w:rPr>
        <w:t>上游：生物制造相关企业400余家（全国），核心企业近100家，产业总规模约1200亿元。菌种、核心装备、专业人才仍是产业短板。MITALAB于5月13日正式成为Illumina综合经销商，切入基因测序和分子诊断上游供应链。</w:t>
      </w:r>
    </w:p>
    <w:p>
      <w:r>
        <w:rPr>
          <w:rFonts w:ascii="华文楷体" w:hAnsi="华文楷体" w:eastAsia="华文楷体"/>
          <w:sz w:val="22"/>
        </w:rPr>
        <w:t>中游：药物研发端生物制品管线加速扩容，CDMO端一体化CRDMO模式成为主流（药明康德、凯莱英、博腾股份等）。宣泰医药复杂制剂车间及配套体系建设取得实质性进展，助力从高端仿制药向"仿创结合"转型，累计助力6款创新药成功获批上市并承接后续CMO服务。信诺维科创板IPO申报中，多款在研管线获CDE突破性治疗药物认定和FDA快速通道认定。</w:t>
      </w:r>
    </w:p>
    <w:p>
      <w:r>
        <w:rPr>
          <w:rFonts w:ascii="华文楷体" w:hAnsi="华文楷体" w:eastAsia="华文楷体"/>
          <w:sz w:val="22"/>
        </w:rPr>
        <w:t>下游：集采和DRG/DIP推动终端价格下行，但医保商保衔接政策为创新药械提供了新的支付通路。医药流通企业面临应收账款账期压力，供应链金融需求上升。</w:t>
      </w:r>
    </w:p>
    <w:p>
      <w:r>
        <w:br w:type="page"/>
      </w:r>
    </w:p>
    <w:p>
      <w:pPr>
        <w:pStyle w:val="Heading1"/>
      </w:pPr>
      <w:r>
        <w:rPr>
          <w:rFonts w:ascii="华文楷体" w:hAnsi="华文楷体" w:eastAsia="华文楷体"/>
          <w:color w:val="003366"/>
        </w:rPr>
        <w:t>二、浙江地区动态与区域机会</w:t>
      </w:r>
    </w:p>
    <w:p>
      <w:pPr>
        <w:pStyle w:val="Heading2"/>
      </w:pPr>
      <w:r>
        <w:rPr>
          <w:rFonts w:ascii="华文楷体" w:hAnsi="华文楷体" w:eastAsia="华文楷体"/>
        </w:rPr>
        <w:t>（一）浙江政策与政府规划</w:t>
      </w:r>
    </w:p>
    <w:p>
      <w:r>
        <w:rPr>
          <w:rFonts w:ascii="华文楷体" w:hAnsi="华文楷体" w:eastAsia="华文楷体"/>
          <w:b/>
          <w:sz w:val="22"/>
        </w:rPr>
        <w:t>重磅政策：浙江探路"生命工厂"——生物制造千亿级产业规划（5月19日）</w:t>
      </w:r>
    </w:p>
    <w:p>
      <w:r>
        <w:rPr>
          <w:rFonts w:ascii="华文楷体" w:hAnsi="华文楷体" w:eastAsia="华文楷体"/>
          <w:sz w:val="22"/>
        </w:rPr>
        <w:t>浙江近日印发《浙江省加快新场景建设应用推动科技和产业高质量发展行动方案（2026—2027年）》，明确到2027年打造生物医药千亿级重点产业，培育5家百亿级龙头企业，培育5个以上具有全国影响力的生物AI大模型，打造具有全球竞争力的生物科技创新高地、生物制造产业集聚高地、"生物+AI"融合应用高地。目前全省拥有生物制造相关企业400余家、合成生物核心企业近100家，产业总规模约1200亿元，核心产业规模约100亿元，整体实力居全国第一方阵。</w:t>
      </w:r>
    </w:p>
    <w:p>
      <w:r>
        <w:rPr>
          <w:rFonts w:ascii="华文楷体" w:hAnsi="华文楷体" w:eastAsia="华文楷体"/>
          <w:sz w:val="22"/>
        </w:rPr>
        <w:t>浙江各城市差异化布局：杭州打造全国合成生物标杆城市，拥有生物医药上市企业超30家，工业总产值位居全国前五；宁波、嘉兴、衢州依托化工和新材料基础发力生物化工与生物材料；温州聚焦精准医疗，打造"中国基因药谷"；湖州、绍兴、台州在创新药、原料药中间体、体外诊断等领域稳扎稳打；金华、舟山、丽水发挥生态资源优势发展生物农业与食品。</w:t>
      </w:r>
    </w:p>
    <w:p>
      <w:pPr>
        <w:pStyle w:val="Heading2"/>
      </w:pPr>
      <w:r>
        <w:rPr>
          <w:rFonts w:ascii="华文楷体" w:hAnsi="华文楷体" w:eastAsia="华文楷体"/>
        </w:rPr>
        <w:t>（二）政府规划与产业方向</w:t>
      </w:r>
    </w:p>
    <w:p>
      <w:r>
        <w:rPr>
          <w:rFonts w:ascii="华文楷体" w:hAnsi="华文楷体" w:eastAsia="华文楷体"/>
          <w:sz w:val="22"/>
        </w:rPr>
        <w:t>浙江生物制造已形成四大优势板块：生物医药（建成3个核心区、7个协同区，5个中试平台入选工信部重点培育名单）、生物化工与材料（多款产品打破国外专利垄断）、生物能源（生物柴油产能约占全国三分之一，建成国内首套生物航煤工业装置）、生物农业与食品（井冈霉素、阿维菌素等生物农药市占率领跑全国）。杭州在全省率先改革生物医药环评审批模式，推出体外诊断试剂出口通关便利等举措。绍兴上虞已集聚14家生物制造核心企业、28家配套企业。</w:t>
      </w:r>
    </w:p>
    <w:p>
      <w:pPr>
        <w:pStyle w:val="Heading2"/>
      </w:pPr>
      <w:r>
        <w:rPr>
          <w:rFonts w:ascii="华文楷体" w:hAnsi="华文楷体" w:eastAsia="华文楷体"/>
        </w:rPr>
        <w:t>（三）浙江重点产业与区域机会</w:t>
      </w:r>
    </w:p>
    <w:p>
      <w:r>
        <w:rPr>
          <w:rFonts w:ascii="华文楷体" w:hAnsi="华文楷体" w:eastAsia="华文楷体"/>
          <w:sz w:val="22"/>
        </w:rPr>
        <w:t>科研突破方面，杭州医学院梁广团队（5月20日）发现糖尿病心衰新靶点VCPIP1，在分子层面完整描绘了其通过破坏AMPK复合体导致心衰的精确路径，为糖尿病性心肌病治疗提供了精准靶点。</w:t>
      </w:r>
    </w:p>
    <w:p>
      <w:r>
        <w:rPr>
          <w:rFonts w:ascii="华文楷体" w:hAnsi="华文楷体" w:eastAsia="华文楷体"/>
          <w:sz w:val="22"/>
        </w:rPr>
        <w:t>产业转化方面，浙江震元生物（绍兴）通过自主知识产权的高产微生物发酵，批量产出高纯度组氨酸、茶氨酸等产品，单个发酵罐数日产能可媲美6.7万亩茶园一年的茶氨酸产量，成本仅为传统种植提纯工艺的十分之一。台州启臻合成生物技术研究院将他克莫司（器官移植排斥预防药）生产成本从50万元/公斤降至15万元/公斤。华东合成生物学产业技术研究院（杭州）搭建一站式转化通道，已孵化7家合成生物创新企业，带动技术转化产值超5亿元。</w:t>
      </w:r>
    </w:p>
    <w:p>
      <w:r>
        <w:rPr>
          <w:rFonts w:ascii="华文楷体" w:hAnsi="华文楷体" w:eastAsia="华文楷体"/>
          <w:sz w:val="22"/>
        </w:rPr>
        <w:t>资本市场方面，杭州领挚科技有限公司从事生命科学工具研发及生产，产品覆盖高通量DNA合成、精准液滴操控、体外诊断IVD等领域，已实现产业化应用。2026中国温州生物医药产业大会将于6月举办。</w:t>
      </w:r>
    </w:p>
    <w:p>
      <w:pPr>
        <w:pStyle w:val="Heading2"/>
      </w:pPr>
      <w:r>
        <w:rPr>
          <w:rFonts w:ascii="华文楷体" w:hAnsi="华文楷体" w:eastAsia="华文楷体"/>
        </w:rPr>
        <w:t>（四）浙江上下游产业链动态</w:t>
      </w:r>
    </w:p>
    <w:p>
      <w:r>
        <w:rPr>
          <w:rFonts w:ascii="华文楷体" w:hAnsi="华文楷体" w:eastAsia="华文楷体"/>
          <w:sz w:val="22"/>
        </w:rPr>
        <w:t>上游原料与设备：浙江化工、纺织、医药产业根基深厚，为生物制造提供充足的原料和工艺基础。但省内大量中小生物制造企业面临菌种自研能力薄弱、高端设备投入不足、实操专业人才紧缺等问题。</w:t>
      </w:r>
    </w:p>
    <w:p>
      <w:r>
        <w:rPr>
          <w:rFonts w:ascii="华文楷体" w:hAnsi="华文楷体" w:eastAsia="华文楷体"/>
          <w:sz w:val="22"/>
        </w:rPr>
        <w:t>中游制造与CDMO：普利制药（注册地浙江，代码300630）拥有海口、杭州和安庆三个研发和制造中心，6000人规模，营收35亿元。宁波双成药业（位于杭州湾）是海南双成药业控股子公司，已通过FDA和中国GMP认证。浙江美华鼎昌医药科技由海归博士团队创建，专注新型生物医药制剂和器械产品研发及产业化。</w:t>
      </w:r>
    </w:p>
    <w:p>
      <w:r>
        <w:rPr>
          <w:rFonts w:ascii="华文楷体" w:hAnsi="华文楷体" w:eastAsia="华文楷体"/>
          <w:sz w:val="22"/>
        </w:rPr>
        <w:t>下游流通与终端：拱东医疗（浙江台州，代码605369）2024年报显示全球医疗器械行业在技术迭代与老龄化需求驱动下呈现结构性增长，高端影像设备、微创手术机器人及数字化慢病管理产品是核心增长方向。</w:t>
      </w:r>
    </w:p>
    <w:p>
      <w:pPr>
        <w:pStyle w:val="Heading2"/>
      </w:pPr>
      <w:r>
        <w:rPr>
          <w:rFonts w:ascii="华文楷体" w:hAnsi="华文楷体" w:eastAsia="华文楷体"/>
        </w:rPr>
        <w:t>（五）银行展业机会（5条）</w:t>
      </w:r>
    </w:p>
    <w:p>
      <w:r>
        <w:rPr>
          <w:rFonts w:ascii="华文楷体" w:hAnsi="华文楷体" w:eastAsia="华文楷体"/>
          <w:sz w:val="22"/>
        </w:rPr>
        <w:t>1. 生物制造扩产融资：浙江目标到2027年培育5家百亿级龙头企业，现有400余家相关企业存在大量扩产、发酵罐建设、GMP车间改造需求，适合项目贷款、设备融资和科技创新再贷款。</w:t>
      </w:r>
    </w:p>
    <w:p>
      <w:r>
        <w:rPr>
          <w:rFonts w:ascii="华文楷体" w:hAnsi="华文楷体" w:eastAsia="华文楷体"/>
          <w:sz w:val="22"/>
        </w:rPr>
        <w:t>2. CDMO平台供应链金融：CXO行业景气回升，浙江CDMO平台型企业（如普利制药等）上下游供应链关系明确，适合订单融资、付融通和供应链金融服务。</w:t>
      </w:r>
    </w:p>
    <w:p>
      <w:r>
        <w:rPr>
          <w:rFonts w:ascii="华文楷体" w:hAnsi="华文楷体" w:eastAsia="华文楷体"/>
          <w:sz w:val="22"/>
        </w:rPr>
        <w:t>3. 创新药企业跨境业务：浙江生物药企License-out和海外申报加速，适合跨境支付结算、人民币国际证+福费廷、外币存款等跨境金融服务。</w:t>
      </w:r>
    </w:p>
    <w:p>
      <w:r>
        <w:rPr>
          <w:rFonts w:ascii="华文楷体" w:hAnsi="华文楷体" w:eastAsia="华文楷体"/>
          <w:sz w:val="22"/>
        </w:rPr>
        <w:t>4. 医疗器械企业设备融资：高值耗材集采加速落地，浙江医疗器械企业（如拱东医疗等）面临产线升级和产能扩张压力，适合设备融资和平安租赁。</w:t>
      </w:r>
    </w:p>
    <w:p>
      <w:r>
        <w:rPr>
          <w:rFonts w:ascii="华文楷体" w:hAnsi="华文楷体" w:eastAsia="华文楷体"/>
          <w:sz w:val="22"/>
        </w:rPr>
        <w:t>5. 生物AI大模型企业科创贷：浙江计划培育5个以上生物AI大模型，相关AI制药和生物信息企业适合普惠金融科创贷和知识产权质押融资。</w:t>
      </w:r>
    </w:p>
    <w:p>
      <w:r>
        <w:br w:type="page"/>
      </w:r>
    </w:p>
    <w:p>
      <w:pPr>
        <w:pStyle w:val="Heading1"/>
      </w:pPr>
      <w:r>
        <w:rPr>
          <w:rFonts w:ascii="华文楷体" w:hAnsi="华文楷体" w:eastAsia="华文楷体"/>
          <w:color w:val="003366"/>
        </w:rPr>
        <w:t>三、重点企业推荐</w:t>
      </w:r>
    </w:p>
    <w:p>
      <w:pPr>
        <w:pStyle w:val="Heading2"/>
      </w:pPr>
      <w:r>
        <w:t>（一）浙江震元生物科技有限公司（绍兴）</w:t>
      </w:r>
    </w:p>
    <w:p>
      <w:r>
        <w:rPr>
          <w:rFonts w:ascii="华文楷体" w:hAnsi="华文楷体" w:eastAsia="华文楷体"/>
          <w:b/>
          <w:sz w:val="22"/>
        </w:rPr>
        <w:t>推荐等级：高</w:t>
      </w:r>
    </w:p>
    <w:p>
      <w:r>
        <w:rPr>
          <w:rFonts w:ascii="华文楷体" w:hAnsi="华文楷体" w:eastAsia="华文楷体"/>
          <w:sz w:val="22"/>
        </w:rPr>
        <w:t>所属行业：生物制造/合成生物学</w:t>
      </w:r>
    </w:p>
    <w:p>
      <w:r>
        <w:rPr>
          <w:rFonts w:ascii="华文楷体" w:hAnsi="华文楷体" w:eastAsia="华文楷体"/>
          <w:sz w:val="22"/>
        </w:rPr>
        <w:t>所在地区：浙江绍兴</w:t>
      </w:r>
    </w:p>
    <w:p>
      <w:r>
        <w:rPr>
          <w:rFonts w:ascii="华文楷体" w:hAnsi="华文楷体" w:eastAsia="华文楷体"/>
          <w:sz w:val="22"/>
        </w:rPr>
        <w:t>产业链位置：中游制造</w:t>
      </w:r>
    </w:p>
    <w:p>
      <w:r>
        <w:rPr>
          <w:rFonts w:ascii="华文楷体" w:hAnsi="华文楷体" w:eastAsia="华文楷体"/>
          <w:sz w:val="22"/>
        </w:rPr>
        <w:t>推荐方向：项目贷款 + 供应链金融 + 跨境结算</w:t>
      </w:r>
    </w:p>
    <w:p>
      <w:r>
        <w:rPr>
          <w:rFonts w:ascii="华文楷体" w:hAnsi="华文楷体" w:eastAsia="华文楷体"/>
          <w:b/>
          <w:sz w:val="22"/>
        </w:rPr>
        <w:t>企业关键信息：</w:t>
      </w:r>
    </w:p>
    <w:p>
      <w:r>
        <w:rPr>
          <w:rFonts w:ascii="华文楷体" w:hAnsi="华文楷体" w:eastAsia="华文楷体"/>
          <w:sz w:val="22"/>
        </w:rPr>
        <w:t>基本情况：震元生物通过自主知识产权的高产微生物发酵技术，批量产出高纯度组氨酸、茶氨酸等产品，属于生物制造核心环节。单个发酵罐数日产能可媲美6.7万亩茶园一年的产量，成本仅为传统工艺的十分之一。</w:t>
      </w:r>
    </w:p>
    <w:p>
      <w:r>
        <w:rPr>
          <w:rFonts w:ascii="华文楷体" w:hAnsi="华文楷体" w:eastAsia="华文楷体"/>
          <w:sz w:val="22"/>
        </w:rPr>
        <w:t>高层与团队背景：震元生物研究所所长孟祥燕主导技术方向。震元股份为绍兴老牌医药企业，在医药流通和生物制造领域深耕多年，团队具备丰富的产业经验和地方政府资源。</w:t>
      </w:r>
    </w:p>
    <w:p>
      <w:r>
        <w:rPr>
          <w:rFonts w:ascii="华文楷体" w:hAnsi="华文楷体" w:eastAsia="华文楷体"/>
          <w:sz w:val="22"/>
        </w:rPr>
        <w:t>银行关注点：生物制造是浙江"十五五"重点产业，震元生物处于产能扩张期，发酵罐建设和GMP车间改造存在明确的融资需求。</w:t>
      </w:r>
    </w:p>
    <w:p>
      <w:r>
        <w:rPr>
          <w:rFonts w:ascii="华文楷体" w:hAnsi="华文楷体" w:eastAsia="华文楷体"/>
          <w:b/>
          <w:sz w:val="22"/>
        </w:rPr>
        <w:t>推荐理由：</w:t>
      </w:r>
    </w:p>
    <w:p>
      <w:r>
        <w:rPr>
          <w:rFonts w:ascii="华文楷体" w:hAnsi="华文楷体" w:eastAsia="华文楷体"/>
          <w:sz w:val="22"/>
        </w:rPr>
        <w:t>浙江将生物制造定位为未来产业，政策红利明确；震元生物已实现规模化量产，成本优势显著（仅为传统工艺十分之一），具备快速扩张的基础；作为生物制造示范企业，未来有望获得政府补贴和政策倾斜，经营风险相对可控。</w:t>
      </w:r>
    </w:p>
    <w:p>
      <w:r>
        <w:rPr>
          <w:rFonts w:ascii="华文楷体" w:hAnsi="华文楷体" w:eastAsia="华文楷体"/>
          <w:b/>
          <w:sz w:val="22"/>
        </w:rPr>
        <w:t>银行展业机会：</w:t>
      </w:r>
    </w:p>
    <w:p>
      <w:r>
        <w:rPr>
          <w:rFonts w:ascii="华文楷体" w:hAnsi="华文楷体" w:eastAsia="华文楷体"/>
          <w:sz w:val="22"/>
        </w:rPr>
        <w:t>企业处于发酵罐扩建和产能提升阶段，适合项目贷款和设备融资切入；原材料采购和产品销售之间存在账期，可配套使用付融通和订单融资；产品出口潜力大，可引入跨境支付结算服务。</w:t>
      </w:r>
    </w:p>
    <w:p>
      <w:r>
        <w:rPr>
          <w:rFonts w:ascii="华文楷体" w:hAnsi="华文楷体" w:eastAsia="华文楷体"/>
          <w:b/>
          <w:sz w:val="22"/>
        </w:rPr>
        <w:t>推荐产品组合：</w:t>
      </w:r>
    </w:p>
    <w:p>
      <w:r>
        <w:rPr>
          <w:rFonts w:ascii="华文楷体" w:hAnsi="华文楷体" w:eastAsia="华文楷体"/>
          <w:sz w:val="22"/>
        </w:rPr>
        <w:t>建议以项目贷款和科技创新和技术更新改造再贷款切入，解决企业发酵罐扩建和产线升级的核心资金需求；配套使用付融通和订单融资，用于原材料采购和下游销售账期管理；如产品涉及出口，配套跨境支付结算和人民币国际证+福费廷。具体额度、期限、费率待沟通。</w:t>
      </w:r>
    </w:p>
    <w:p>
      <w:r>
        <w:rPr>
          <w:rFonts w:ascii="华文楷体" w:hAnsi="华文楷体" w:eastAsia="华文楷体"/>
          <w:b/>
          <w:sz w:val="22"/>
        </w:rPr>
        <w:t>客户经理切入话术：</w:t>
      </w:r>
    </w:p>
    <w:p>
      <w:r>
        <w:rPr>
          <w:rFonts w:ascii="华文楷体" w:hAnsi="华文楷体" w:eastAsia="华文楷体"/>
          <w:sz w:val="22"/>
        </w:rPr>
        <w:t>"震总您好，最近浙江在大力推动生物制造产业，贵司的茶氨酸发酵产能替代模式非常有亮点。我们平安银行在科技创新再贷款和设备融资方面有专项产品，能匹配发酵罐扩建的资金需求，不知道方便约个时间当面聊聊？"</w:t>
      </w:r>
    </w:p>
    <w:p>
      <w:r>
        <w:rPr>
          <w:rFonts w:ascii="华文楷体" w:hAnsi="华文楷体" w:eastAsia="华文楷体"/>
          <w:b/>
          <w:sz w:val="22"/>
        </w:rPr>
        <w:t>风险提示：</w:t>
      </w:r>
    </w:p>
    <w:p>
      <w:r>
        <w:rPr>
          <w:rFonts w:ascii="华文楷体" w:hAnsi="华文楷体" w:eastAsia="华文楷体"/>
          <w:sz w:val="22"/>
        </w:rPr>
        <w:t>暂无明显公开风险，仍需结合征信、流水、财报、合同、客户结构和实地尽调确认。生物制造行业标准规范尚不健全，审批流程和认证体系存在不确定性。</w:t>
      </w:r>
    </w:p>
    <w:p>
      <w:pPr>
        <w:pStyle w:val="Heading2"/>
      </w:pPr>
      <w:r>
        <w:t>（二）普利制药股份有限公司（注册地浙江，代码300630）</w:t>
      </w:r>
    </w:p>
    <w:p>
      <w:r>
        <w:rPr>
          <w:rFonts w:ascii="华文楷体" w:hAnsi="华文楷体" w:eastAsia="华文楷体"/>
          <w:b/>
          <w:sz w:val="22"/>
        </w:rPr>
        <w:t>推荐等级：高</w:t>
      </w:r>
    </w:p>
    <w:p>
      <w:r>
        <w:rPr>
          <w:rFonts w:ascii="华文楷体" w:hAnsi="华文楷体" w:eastAsia="华文楷体"/>
          <w:sz w:val="22"/>
        </w:rPr>
        <w:t>所属行业：化学制药/CDMO</w:t>
      </w:r>
    </w:p>
    <w:p>
      <w:r>
        <w:rPr>
          <w:rFonts w:ascii="华文楷体" w:hAnsi="华文楷体" w:eastAsia="华文楷体"/>
          <w:sz w:val="22"/>
        </w:rPr>
        <w:t>所在地区：浙江（注册地），海口、杭州、安庆设有研发和制造中心</w:t>
      </w:r>
    </w:p>
    <w:p>
      <w:r>
        <w:rPr>
          <w:rFonts w:ascii="华文楷体" w:hAnsi="华文楷体" w:eastAsia="华文楷体"/>
          <w:sz w:val="22"/>
        </w:rPr>
        <w:t>产业链位置：中游CDMO+制剂生产</w:t>
      </w:r>
    </w:p>
    <w:p>
      <w:r>
        <w:rPr>
          <w:rFonts w:ascii="华文楷体" w:hAnsi="华文楷体" w:eastAsia="华文楷体"/>
          <w:sz w:val="22"/>
        </w:rPr>
        <w:t>推荐方向：供应链金融 + 跨境结算 + 现金管理</w:t>
      </w:r>
    </w:p>
    <w:p>
      <w:r>
        <w:rPr>
          <w:rFonts w:ascii="华文楷体" w:hAnsi="华文楷体" w:eastAsia="华文楷体"/>
          <w:b/>
          <w:sz w:val="22"/>
        </w:rPr>
        <w:t>企业关键信息：</w:t>
      </w:r>
    </w:p>
    <w:p>
      <w:r>
        <w:rPr>
          <w:rFonts w:ascii="华文楷体" w:hAnsi="华文楷体" w:eastAsia="华文楷体"/>
          <w:sz w:val="22"/>
        </w:rPr>
        <w:t>基本情况：2017年创业板上市，6000人规模，营收35亿元，拥有海口、杭州和安庆三个研发和制造中心，覆盖制剂生产全产业链。宣泰医药持续督导报告提及，普利制药在CRO/CMO领域为多家国内外头部创新药企提供从研发到商业化的全流程服务，累计助力6款创新药成功获批上市。</w:t>
      </w:r>
    </w:p>
    <w:p>
      <w:r>
        <w:rPr>
          <w:rFonts w:ascii="华文楷体" w:hAnsi="华文楷体" w:eastAsia="华文楷体"/>
          <w:sz w:val="22"/>
        </w:rPr>
        <w:t>高层与团队背景：未公开详细背景，待核实。公司上市近10年，管理团队具备丰富的医药制造和CDMO运营经验。</w:t>
      </w:r>
    </w:p>
    <w:p>
      <w:r>
        <w:rPr>
          <w:rFonts w:ascii="华文楷体" w:hAnsi="华文楷体" w:eastAsia="华文楷体"/>
          <w:sz w:val="22"/>
        </w:rPr>
        <w:t>银行关注点：CDMO行业景气回升，公司多基地运营带来资金管理需求；为创新药企提供CMO服务，供应链上下游关系明确。</w:t>
      </w:r>
    </w:p>
    <w:p>
      <w:r>
        <w:rPr>
          <w:rFonts w:ascii="华文楷体" w:hAnsi="华文楷体" w:eastAsia="华文楷体"/>
          <w:b/>
          <w:sz w:val="22"/>
        </w:rPr>
        <w:t>推荐理由：</w:t>
      </w:r>
    </w:p>
    <w:p>
      <w:r>
        <w:rPr>
          <w:rFonts w:ascii="华文楷体" w:hAnsi="华文楷体" w:eastAsia="华文楷体"/>
          <w:sz w:val="22"/>
        </w:rPr>
        <w:t>CDMO行业2025年净利暴增85%，景气度明确上行；公司多基地运营模式成熟，产能利用率提升空间大；6款创新药CMO成功案例证明技术实力，订单确定性较强；注册地浙江，符合区域聚焦要求。</w:t>
      </w:r>
    </w:p>
    <w:p>
      <w:r>
        <w:rPr>
          <w:rFonts w:ascii="华文楷体" w:hAnsi="华文楷体" w:eastAsia="华文楷体"/>
          <w:b/>
          <w:sz w:val="22"/>
        </w:rPr>
        <w:t>银行展业机会：</w:t>
      </w:r>
    </w:p>
    <w:p>
      <w:r>
        <w:rPr>
          <w:rFonts w:ascii="华文楷体" w:hAnsi="华文楷体" w:eastAsia="华文楷体"/>
          <w:sz w:val="22"/>
        </w:rPr>
        <w:t>多基地运营带来跨区域资金调拨和归集需求，适合数字财资和资产管家；上下游供应链关系清晰（创新药企客户-原料供应商），适合订单融资和付融通；海外CMO订单存在跨境结算需求。</w:t>
      </w:r>
    </w:p>
    <w:p>
      <w:r>
        <w:rPr>
          <w:rFonts w:ascii="华文楷体" w:hAnsi="华文楷体" w:eastAsia="华文楷体"/>
          <w:b/>
          <w:sz w:val="22"/>
        </w:rPr>
        <w:t>推荐产品组合：</w:t>
      </w:r>
    </w:p>
    <w:p>
      <w:r>
        <w:rPr>
          <w:rFonts w:ascii="华文楷体" w:hAnsi="华文楷体" w:eastAsia="华文楷体"/>
          <w:sz w:val="22"/>
        </w:rPr>
        <w:t>建议以数字财资切入，统一管理海口、杭州、安庆三地资金流，提升业财协同效率；配套使用付融通和订单融资，服务创新药企CMO订单上下游资金周转；如有海外业务，配套跨境支付结算和外币存款。具体额度、期限待沟通。</w:t>
      </w:r>
    </w:p>
    <w:p>
      <w:r>
        <w:rPr>
          <w:rFonts w:ascii="华文楷体" w:hAnsi="华文楷体" w:eastAsia="华文楷体"/>
          <w:b/>
          <w:sz w:val="22"/>
        </w:rPr>
        <w:t>客户经理切入话术：</w:t>
      </w:r>
    </w:p>
    <w:p>
      <w:r>
        <w:rPr>
          <w:rFonts w:ascii="华文楷体" w:hAnsi="华文楷体" w:eastAsia="华文楷体"/>
          <w:sz w:val="22"/>
        </w:rPr>
        <w:t>"普利制药在CDMO领域的技术实力和客户口碑在业内非常突出，特别是6款创新药获批的案例。考虑到贵司多基地运营的特点，我们在跨区域资金归集和供应链金融方面有成熟方案，可以帮助优化资金效率，您看是否可以安排一次产品介绍？"</w:t>
      </w:r>
    </w:p>
    <w:p>
      <w:r>
        <w:rPr>
          <w:rFonts w:ascii="华文楷体" w:hAnsi="华文楷体" w:eastAsia="华文楷体"/>
          <w:b/>
          <w:sz w:val="22"/>
        </w:rPr>
        <w:t>风险提示：</w:t>
      </w:r>
    </w:p>
    <w:p>
      <w:r>
        <w:rPr>
          <w:rFonts w:ascii="华文楷体" w:hAnsi="华文楷体" w:eastAsia="华文楷体"/>
          <w:sz w:val="22"/>
        </w:rPr>
        <w:t>集采对制剂价格存在压力；CDMO行业竞争激烈，需关注订单集中度和客户流失风险；多基地运营带来管理复杂度。仍需结合征信、流水、财报确认。</w:t>
      </w:r>
    </w:p>
    <w:p>
      <w:pPr>
        <w:pStyle w:val="Heading2"/>
      </w:pPr>
      <w:r>
        <w:t>（三）浙江京新药业股份有限公司（代码002020）</w:t>
      </w:r>
    </w:p>
    <w:p>
      <w:r>
        <w:rPr>
          <w:rFonts w:ascii="华文楷体" w:hAnsi="华文楷体" w:eastAsia="华文楷体"/>
          <w:b/>
          <w:sz w:val="22"/>
        </w:rPr>
        <w:t>推荐等级：中</w:t>
      </w:r>
    </w:p>
    <w:p>
      <w:r>
        <w:rPr>
          <w:rFonts w:ascii="华文楷体" w:hAnsi="华文楷体" w:eastAsia="华文楷体"/>
          <w:sz w:val="22"/>
        </w:rPr>
        <w:t>所属行业：化学制药/医疗器械</w:t>
      </w:r>
    </w:p>
    <w:p>
      <w:r>
        <w:rPr>
          <w:rFonts w:ascii="华文楷体" w:hAnsi="华文楷体" w:eastAsia="华文楷体"/>
          <w:sz w:val="22"/>
        </w:rPr>
        <w:t>所在地区：浙江</w:t>
      </w:r>
    </w:p>
    <w:p>
      <w:r>
        <w:rPr>
          <w:rFonts w:ascii="华文楷体" w:hAnsi="华文楷体" w:eastAsia="华文楷体"/>
          <w:sz w:val="22"/>
        </w:rPr>
        <w:t>产业链位置：中游制剂生产+医疗器械</w:t>
      </w:r>
    </w:p>
    <w:p>
      <w:r>
        <w:rPr>
          <w:rFonts w:ascii="华文楷体" w:hAnsi="华文楷体" w:eastAsia="华文楷体"/>
          <w:sz w:val="22"/>
        </w:rPr>
        <w:t>推荐方向：流动资金 + 现金管理</w:t>
      </w:r>
    </w:p>
    <w:p>
      <w:r>
        <w:rPr>
          <w:rFonts w:ascii="华文楷体" w:hAnsi="华文楷体" w:eastAsia="华文楷体"/>
          <w:b/>
          <w:sz w:val="22"/>
        </w:rPr>
        <w:t>企业关键信息：</w:t>
      </w:r>
    </w:p>
    <w:p>
      <w:r>
        <w:rPr>
          <w:rFonts w:ascii="华文楷体" w:hAnsi="华文楷体" w:eastAsia="华文楷体"/>
          <w:sz w:val="22"/>
        </w:rPr>
        <w:t>基本情况：成立于1990年，集研发、生产、销售于一体的医药上市公司，遵循"做强药品主业，发展医疗器械"的经营方针。</w:t>
      </w:r>
    </w:p>
    <w:p>
      <w:r>
        <w:rPr>
          <w:rFonts w:ascii="华文楷体" w:hAnsi="华文楷体" w:eastAsia="华文楷体"/>
          <w:sz w:val="22"/>
        </w:rPr>
        <w:t>高层与团队背景：未公开详细背景，待核实。公司成立30余年，在浙江医药行业具有深厚根基。</w:t>
      </w:r>
    </w:p>
    <w:p>
      <w:r>
        <w:rPr>
          <w:rFonts w:ascii="华文楷体" w:hAnsi="华文楷体" w:eastAsia="华文楷体"/>
          <w:sz w:val="22"/>
        </w:rPr>
        <w:t>银行关注点：老牌医药企业，经营稳定，现金流可预期，适合现金管理和理财权益配套。</w:t>
      </w:r>
    </w:p>
    <w:p>
      <w:r>
        <w:rPr>
          <w:rFonts w:ascii="华文楷体" w:hAnsi="华文楷体" w:eastAsia="华文楷体"/>
          <w:b/>
          <w:sz w:val="22"/>
        </w:rPr>
        <w:t>推荐理由：</w:t>
      </w:r>
    </w:p>
    <w:p>
      <w:r>
        <w:rPr>
          <w:rFonts w:ascii="华文楷体" w:hAnsi="华文楷体" w:eastAsia="华文楷体"/>
          <w:sz w:val="22"/>
        </w:rPr>
        <w:t>浙江老牌上市药企，经营稳定，信用资质较好；"药品+医疗器械"双主业布局，抗风险能力强；符合浙江生物医药重点产业方向。</w:t>
      </w:r>
    </w:p>
    <w:p>
      <w:r>
        <w:rPr>
          <w:rFonts w:ascii="华文楷体" w:hAnsi="华文楷体" w:eastAsia="华文楷体"/>
          <w:b/>
          <w:sz w:val="22"/>
        </w:rPr>
        <w:t>银行展业机会：</w:t>
      </w:r>
    </w:p>
    <w:p>
      <w:r>
        <w:rPr>
          <w:rFonts w:ascii="华文楷体" w:hAnsi="华文楷体" w:eastAsia="华文楷体"/>
          <w:sz w:val="22"/>
        </w:rPr>
        <w:t>日常经营流动资金需求可用平安透或网上自由贷；集团资金管理可引入数字财资和资产池；员工规模较大，适合平安薪代发和个贷产品。</w:t>
      </w:r>
    </w:p>
    <w:p>
      <w:r>
        <w:rPr>
          <w:rFonts w:ascii="华文楷体" w:hAnsi="华文楷体" w:eastAsia="华文楷体"/>
          <w:b/>
          <w:sz w:val="22"/>
        </w:rPr>
        <w:t>推荐产品组合：</w:t>
      </w:r>
    </w:p>
    <w:p>
      <w:r>
        <w:rPr>
          <w:rFonts w:ascii="华文楷体" w:hAnsi="华文楷体" w:eastAsia="华文楷体"/>
          <w:sz w:val="22"/>
        </w:rPr>
        <w:t>建议以数字财资和资产池切入，提升集团资金管理效率；配套使用网上自由贷或平安透满足日常经营资金周转；同时推进平安薪代发，服务员工群体。具体额度、期限待沟通。</w:t>
      </w:r>
    </w:p>
    <w:p>
      <w:r>
        <w:rPr>
          <w:rFonts w:ascii="华文楷体" w:hAnsi="华文楷体" w:eastAsia="华文楷体"/>
          <w:b/>
          <w:sz w:val="22"/>
        </w:rPr>
        <w:t>客户经理切入话术：</w:t>
      </w:r>
    </w:p>
    <w:p>
      <w:r>
        <w:rPr>
          <w:rFonts w:ascii="华文楷体" w:hAnsi="华文楷体" w:eastAsia="华文楷体"/>
          <w:sz w:val="22"/>
        </w:rPr>
        <w:t>"京新药业是浙江医药行业的老牌企业，根基扎实。我们了解到贵司在药品和器械双主业布局，资金管理的复杂度和效率要求都在提升。平安银行的数字财资和资产池产品可以帮助统一管理多账户资金，您看方便交流一下？"</w:t>
      </w:r>
    </w:p>
    <w:p>
      <w:r>
        <w:rPr>
          <w:rFonts w:ascii="华文楷体" w:hAnsi="华文楷体" w:eastAsia="华文楷体"/>
          <w:b/>
          <w:sz w:val="22"/>
        </w:rPr>
        <w:t>风险提示：</w:t>
      </w:r>
    </w:p>
    <w:p>
      <w:r>
        <w:rPr>
          <w:rFonts w:ascii="华文楷体" w:hAnsi="华文楷体" w:eastAsia="华文楷体"/>
          <w:sz w:val="22"/>
        </w:rPr>
        <w:t>仿制药面临集采价格压力；医疗器械板块竞争加剧。仍需结合征信、流水、财报确认。</w:t>
      </w:r>
    </w:p>
    <w:p>
      <w:pPr>
        <w:pStyle w:val="Heading2"/>
      </w:pPr>
      <w:r>
        <w:t>（四）浙江拱东医疗器械股份有限公司（台州，代码605369）</w:t>
      </w:r>
    </w:p>
    <w:p>
      <w:r>
        <w:rPr>
          <w:rFonts w:ascii="华文楷体" w:hAnsi="华文楷体" w:eastAsia="华文楷体"/>
          <w:b/>
          <w:sz w:val="22"/>
        </w:rPr>
        <w:t>推荐等级：中</w:t>
      </w:r>
    </w:p>
    <w:p>
      <w:r>
        <w:rPr>
          <w:rFonts w:ascii="华文楷体" w:hAnsi="华文楷体" w:eastAsia="华文楷体"/>
          <w:sz w:val="22"/>
        </w:rPr>
        <w:t>所属行业：医疗器械/耗材</w:t>
      </w:r>
    </w:p>
    <w:p>
      <w:r>
        <w:rPr>
          <w:rFonts w:ascii="华文楷体" w:hAnsi="华文楷体" w:eastAsia="华文楷体"/>
          <w:sz w:val="22"/>
        </w:rPr>
        <w:t>所在地区：浙江台州</w:t>
      </w:r>
    </w:p>
    <w:p>
      <w:r>
        <w:rPr>
          <w:rFonts w:ascii="华文楷体" w:hAnsi="华文楷体" w:eastAsia="华文楷体"/>
          <w:sz w:val="22"/>
        </w:rPr>
        <w:t>产业链位置：中游医疗器械制造</w:t>
      </w:r>
    </w:p>
    <w:p>
      <w:r>
        <w:rPr>
          <w:rFonts w:ascii="华文楷体" w:hAnsi="华文楷体" w:eastAsia="华文楷体"/>
          <w:sz w:val="22"/>
        </w:rPr>
        <w:t>推荐方向：设备融资 + 供应链金融</w:t>
      </w:r>
    </w:p>
    <w:p>
      <w:r>
        <w:rPr>
          <w:rFonts w:ascii="华文楷体" w:hAnsi="华文楷体" w:eastAsia="华文楷体"/>
          <w:b/>
          <w:sz w:val="22"/>
        </w:rPr>
        <w:t>企业关键信息：</w:t>
      </w:r>
    </w:p>
    <w:p>
      <w:r>
        <w:rPr>
          <w:rFonts w:ascii="华文楷体" w:hAnsi="华文楷体" w:eastAsia="华文楷体"/>
          <w:sz w:val="22"/>
        </w:rPr>
        <w:t>基本情况：拱东医疗2024年报显示，全球医疗器械行业在技术迭代与老龄化需求驱动下呈现结构性增长，高端影像设备、微创手术机器人及数字化慢病管理产品是核心增长方向。公司聚焦医疗器械制造。</w:t>
      </w:r>
    </w:p>
    <w:p>
      <w:r>
        <w:rPr>
          <w:rFonts w:ascii="华文楷体" w:hAnsi="华文楷体" w:eastAsia="华文楷体"/>
          <w:sz w:val="22"/>
        </w:rPr>
        <w:t>高层与团队背景：未公开详细背景，待核实。</w:t>
      </w:r>
    </w:p>
    <w:p>
      <w:r>
        <w:rPr>
          <w:rFonts w:ascii="华文楷体" w:hAnsi="华文楷体" w:eastAsia="华文楷体"/>
          <w:sz w:val="22"/>
        </w:rPr>
        <w:t>银行关注点：6月5日起1类高值耗材集采落地，企业面临产线升级和成本优化压力，设备融资需求明确。</w:t>
      </w:r>
    </w:p>
    <w:p>
      <w:r>
        <w:rPr>
          <w:rFonts w:ascii="华文楷体" w:hAnsi="华文楷体" w:eastAsia="华文楷体"/>
          <w:b/>
          <w:sz w:val="22"/>
        </w:rPr>
        <w:t>推荐理由：</w:t>
      </w:r>
    </w:p>
    <w:p>
      <w:r>
        <w:rPr>
          <w:rFonts w:ascii="华文楷体" w:hAnsi="华文楷体" w:eastAsia="华文楷体"/>
          <w:sz w:val="22"/>
        </w:rPr>
        <w:t>医疗器械国产替代趋势明确，老龄化驱动结构性需求增长；集采加速落地倒逼企业产能升级，设备融资需求明确；台州为浙江医疗器械产业重要基地，区域产业集群效应显著。</w:t>
      </w:r>
    </w:p>
    <w:p>
      <w:r>
        <w:rPr>
          <w:rFonts w:ascii="华文楷体" w:hAnsi="华文楷体" w:eastAsia="华文楷体"/>
          <w:b/>
          <w:sz w:val="22"/>
        </w:rPr>
        <w:t>银行展业机会：</w:t>
      </w:r>
    </w:p>
    <w:p>
      <w:r>
        <w:rPr>
          <w:rFonts w:ascii="华文楷体" w:hAnsi="华文楷体" w:eastAsia="华文楷体"/>
          <w:sz w:val="22"/>
        </w:rPr>
        <w:t>产线升级和设备更新适合设备融资和平安租赁；集采后销售规模扩大带来应收账款增加，可使用付融通和商票保贴；上游原材料采购可用订单融资。</w:t>
      </w:r>
    </w:p>
    <w:p>
      <w:r>
        <w:rPr>
          <w:rFonts w:ascii="华文楷体" w:hAnsi="华文楷体" w:eastAsia="华文楷体"/>
          <w:b/>
          <w:sz w:val="22"/>
        </w:rPr>
        <w:t>推荐产品组合：</w:t>
      </w:r>
    </w:p>
    <w:p>
      <w:r>
        <w:rPr>
          <w:rFonts w:ascii="华文楷体" w:hAnsi="华文楷体" w:eastAsia="华文楷体"/>
          <w:sz w:val="22"/>
        </w:rPr>
        <w:t>建议以平安租赁或设备融资切入，满足产线升级和设备更新的核心需求；配套使用付融通和商票保贴，应对集采后应收账款管理；上游采购可用订单融资。具体额度、期限待沟通。</w:t>
      </w:r>
    </w:p>
    <w:p>
      <w:r>
        <w:rPr>
          <w:rFonts w:ascii="华文楷体" w:hAnsi="华文楷体" w:eastAsia="华文楷体"/>
          <w:b/>
          <w:sz w:val="22"/>
        </w:rPr>
        <w:t>客户经理切入话术：</w:t>
      </w:r>
    </w:p>
    <w:p>
      <w:r>
        <w:rPr>
          <w:rFonts w:ascii="华文楷体" w:hAnsi="华文楷体" w:eastAsia="华文楷体"/>
          <w:sz w:val="22"/>
        </w:rPr>
        <w:t>"拱东总，近期高值耗材集采加速落地，医疗器械行业面临产线升级的窗口期。我们平安银行在设备融资和租赁方面有专项方案，可以帮助贵司快速完成产能优化，同时应收账款管理我们也有成熟工具，方便约个时间当面沟通？"</w:t>
      </w:r>
    </w:p>
    <w:p>
      <w:r>
        <w:rPr>
          <w:rFonts w:ascii="华文楷体" w:hAnsi="华文楷体" w:eastAsia="华文楷体"/>
          <w:b/>
          <w:sz w:val="22"/>
        </w:rPr>
        <w:t>风险提示：</w:t>
      </w:r>
    </w:p>
    <w:p>
      <w:r>
        <w:rPr>
          <w:rFonts w:ascii="华文楷体" w:hAnsi="华文楷体" w:eastAsia="华文楷体"/>
          <w:sz w:val="22"/>
        </w:rPr>
        <w:t>集采压缩利润空间，价格压力传导至制造端；医疗器械注册证获取周期长。仍需结合征信、流水、财报确认。</w:t>
      </w:r>
    </w:p>
    <w:p>
      <w:pPr>
        <w:pStyle w:val="Heading2"/>
      </w:pPr>
      <w:r>
        <w:t>（五）杭州领挚科技有限公司（杭州）</w:t>
      </w:r>
    </w:p>
    <w:p>
      <w:r>
        <w:rPr>
          <w:rFonts w:ascii="华文楷体" w:hAnsi="华文楷体" w:eastAsia="华文楷体"/>
          <w:b/>
          <w:sz w:val="22"/>
        </w:rPr>
        <w:t>推荐等级：中</w:t>
      </w:r>
    </w:p>
    <w:p>
      <w:r>
        <w:rPr>
          <w:rFonts w:ascii="华文楷体" w:hAnsi="华文楷体" w:eastAsia="华文楷体"/>
          <w:sz w:val="22"/>
        </w:rPr>
        <w:t>所属行业：生命科学工具/IVD上游</w:t>
      </w:r>
    </w:p>
    <w:p>
      <w:r>
        <w:rPr>
          <w:rFonts w:ascii="华文楷体" w:hAnsi="华文楷体" w:eastAsia="华文楷体"/>
          <w:sz w:val="22"/>
        </w:rPr>
        <w:t>所在地区：浙江杭州</w:t>
      </w:r>
    </w:p>
    <w:p>
      <w:r>
        <w:rPr>
          <w:rFonts w:ascii="华文楷体" w:hAnsi="华文楷体" w:eastAsia="华文楷体"/>
          <w:sz w:val="22"/>
        </w:rPr>
        <w:t>产业链位置：上游生命科学工具研发及生产</w:t>
      </w:r>
    </w:p>
    <w:p>
      <w:r>
        <w:rPr>
          <w:rFonts w:ascii="华文楷体" w:hAnsi="华文楷体" w:eastAsia="华文楷体"/>
          <w:sz w:val="22"/>
        </w:rPr>
        <w:t>推荐方向：科创贷 + 知识产权质押</w:t>
      </w:r>
    </w:p>
    <w:p>
      <w:r>
        <w:rPr>
          <w:rFonts w:ascii="华文楷体" w:hAnsi="华文楷体" w:eastAsia="华文楷体"/>
          <w:b/>
          <w:sz w:val="22"/>
        </w:rPr>
        <w:t>企业关键信息：</w:t>
      </w:r>
    </w:p>
    <w:p>
      <w:r>
        <w:rPr>
          <w:rFonts w:ascii="华文楷体" w:hAnsi="华文楷体" w:eastAsia="华文楷体"/>
          <w:sz w:val="22"/>
        </w:rPr>
        <w:t>基本情况：从事生命科学工具研发及生产，核心产品包括TFT生命科学产品和TFT新型光电产品，覆盖高通量DNA合成、精准液滴操控、体外诊断IVD等领域，已实现产业化应用。</w:t>
      </w:r>
    </w:p>
    <w:p>
      <w:r>
        <w:rPr>
          <w:rFonts w:ascii="华文楷体" w:hAnsi="华文楷体" w:eastAsia="华文楷体"/>
          <w:sz w:val="22"/>
        </w:rPr>
        <w:t>高层与团队背景：未公开详细背景，待核实。处于杭州合成生物标杆城市建设背景下，团队具备较强的技术研发能力。</w:t>
      </w:r>
    </w:p>
    <w:p>
      <w:r>
        <w:rPr>
          <w:rFonts w:ascii="华文楷体" w:hAnsi="华文楷体" w:eastAsia="华文楷体"/>
          <w:sz w:val="22"/>
        </w:rPr>
        <w:t>银行关注点：生命科学工具是生物制造上游关键环节，杭州打造全国合成生物标杆城市，相关企业有望获得政策倾斜和融资便利。</w:t>
      </w:r>
    </w:p>
    <w:p>
      <w:r>
        <w:rPr>
          <w:rFonts w:ascii="华文楷体" w:hAnsi="华文楷体" w:eastAsia="华文楷体"/>
          <w:b/>
          <w:sz w:val="22"/>
        </w:rPr>
        <w:t>推荐理由：</w:t>
      </w:r>
    </w:p>
    <w:p>
      <w:r>
        <w:rPr>
          <w:rFonts w:ascii="华文楷体" w:hAnsi="华文楷体" w:eastAsia="华文楷体"/>
          <w:sz w:val="22"/>
        </w:rPr>
        <w:t>杭州打造全国合成生物标杆城市，政策红利明确；生命科学工具是生物制造上游核心环节，市场壁垒高；已实现产业化应用，商业模式验证完成。</w:t>
      </w:r>
    </w:p>
    <w:p>
      <w:r>
        <w:rPr>
          <w:rFonts w:ascii="华文楷体" w:hAnsi="华文楷体" w:eastAsia="华文楷体"/>
          <w:b/>
          <w:sz w:val="22"/>
        </w:rPr>
        <w:t>银行展业机会：</w:t>
      </w:r>
    </w:p>
    <w:p>
      <w:r>
        <w:rPr>
          <w:rFonts w:ascii="华文楷体" w:hAnsi="华文楷体" w:eastAsia="华文楷体"/>
          <w:sz w:val="22"/>
        </w:rPr>
        <w:t>科技型中小企业适合普惠金融科创贷；拥有专利技术可申请知识产权质押融资；产业化扩张需要流动资金支持。</w:t>
      </w:r>
    </w:p>
    <w:p>
      <w:r>
        <w:rPr>
          <w:rFonts w:ascii="华文楷体" w:hAnsi="华文楷体" w:eastAsia="华文楷体"/>
          <w:b/>
          <w:sz w:val="22"/>
        </w:rPr>
        <w:t>推荐产品组合：</w:t>
      </w:r>
    </w:p>
    <w:p>
      <w:r>
        <w:rPr>
          <w:rFonts w:ascii="华文楷体" w:hAnsi="华文楷体" w:eastAsia="华文楷体"/>
          <w:sz w:val="22"/>
        </w:rPr>
        <w:t>建议以普惠金融科创贷切入，利用企业科技标签和专利权认定获得授信；配套使用知识产权质押作为增信方式；如有出口需求，可引入跨境支付结算。具体额度、期限待沟通。</w:t>
      </w:r>
    </w:p>
    <w:p>
      <w:r>
        <w:rPr>
          <w:rFonts w:ascii="华文楷体" w:hAnsi="华文楷体" w:eastAsia="华文楷体"/>
          <w:b/>
          <w:sz w:val="22"/>
        </w:rPr>
        <w:t>客户经理切入话术：</w:t>
      </w:r>
    </w:p>
    <w:p>
      <w:r>
        <w:rPr>
          <w:rFonts w:ascii="华文楷体" w:hAnsi="华文楷体" w:eastAsia="华文楷体"/>
          <w:sz w:val="22"/>
        </w:rPr>
        <w:t>"领挚科技在生命科学工具领域的技术实力在杭州合成生物产业中很有代表性。我们平安银行针对科技型中小企业有专门的科创贷产品，可以用专利权作为增信，支持企业进一步扩张。方便约个时间聊聊？"</w:t>
      </w:r>
    </w:p>
    <w:p>
      <w:r>
        <w:rPr>
          <w:rFonts w:ascii="华文楷体" w:hAnsi="华文楷体" w:eastAsia="华文楷体"/>
          <w:b/>
          <w:sz w:val="22"/>
        </w:rPr>
        <w:t>风险提示：</w:t>
      </w:r>
    </w:p>
    <w:p>
      <w:r>
        <w:rPr>
          <w:rFonts w:ascii="华文楷体" w:hAnsi="华文楷体" w:eastAsia="华文楷体"/>
          <w:sz w:val="22"/>
        </w:rPr>
        <w:t>生命科学工具市场竞争激烈，海外巨头（如Illumina、Thermo Fisher）优势明显；企业规模可能较小，需核实财务状况。仍需结合征信、流水、财报确认。</w:t>
      </w:r>
    </w:p>
    <w:p>
      <w:r>
        <w:br w:type="page"/>
      </w:r>
    </w:p>
    <w:p>
      <w:pPr>
        <w:pStyle w:val="Heading1"/>
      </w:pPr>
      <w:r>
        <w:rPr>
          <w:rFonts w:ascii="华文楷体" w:hAnsi="华文楷体" w:eastAsia="华文楷体"/>
          <w:color w:val="003366"/>
        </w:rPr>
        <w:t>四、客户经理行动建议</w:t>
      </w:r>
    </w:p>
    <w:p>
      <w:r>
        <w:rPr>
          <w:rFonts w:ascii="华文楷体" w:hAnsi="华文楷体" w:eastAsia="华文楷体"/>
          <w:b/>
          <w:sz w:val="22"/>
        </w:rPr>
        <w:t>1. 优先拜访震元生物（绍兴）和普利制药（浙江注册地）</w:t>
      </w:r>
    </w:p>
    <w:p>
      <w:r>
        <w:rPr>
          <w:rFonts w:ascii="华文楷体" w:hAnsi="华文楷体" w:eastAsia="华文楷体"/>
          <w:sz w:val="22"/>
        </w:rPr>
        <w:t>震元生物是浙江生物制造标杆企业，正处于产能扩张期，发酵罐建设和GMP车间改造有明确融资需求。普利制药CDMO景气回升，多基地运营带来跨区域资金管理需求。两家企业均为浙江本地优质标的，建议本周内安排首次拜访。</w:t>
      </w:r>
    </w:p>
    <w:p>
      <w:r>
        <w:rPr>
          <w:rFonts w:ascii="华文楷体" w:hAnsi="华文楷体" w:eastAsia="华文楷体"/>
          <w:b/>
          <w:sz w:val="22"/>
        </w:rPr>
        <w:t>2. 从生物制造扩产和CDMO供应链两个场景切入</w:t>
      </w:r>
    </w:p>
    <w:p>
      <w:r>
        <w:rPr>
          <w:rFonts w:ascii="华文楷体" w:hAnsi="华文楷体" w:eastAsia="华文楷体"/>
          <w:sz w:val="22"/>
        </w:rPr>
        <w:t>浙江生物制造产业正处于政策红利期，扩产融资需求集中释放。CDMO行业景气回升，供应链金融需求同步增长。建议以项目贷款/设备融资+供应链金融组合方案对接。</w:t>
      </w:r>
    </w:p>
    <w:p>
      <w:r>
        <w:rPr>
          <w:rFonts w:ascii="华文楷体" w:hAnsi="华文楷体" w:eastAsia="华文楷体"/>
          <w:b/>
          <w:sz w:val="22"/>
        </w:rPr>
        <w:t>3. 关注台州医疗器械产业集群（拱东医疗等）</w:t>
      </w:r>
    </w:p>
    <w:p>
      <w:r>
        <w:rPr>
          <w:rFonts w:ascii="华文楷体" w:hAnsi="华文楷体" w:eastAsia="华文楷体"/>
          <w:sz w:val="22"/>
        </w:rPr>
        <w:t>6月5日起1类高值耗材集采落地，台州医疗器械企业面临产线升级窗口期，设备融资和租赁需求将集中释放。建议与台州分行联动，批量对接医疗器械企业。</w:t>
      </w:r>
    </w:p>
    <w:p>
      <w:r>
        <w:rPr>
          <w:rFonts w:ascii="华文楷体" w:hAnsi="华文楷体" w:eastAsia="华文楷体"/>
          <w:b/>
          <w:sz w:val="22"/>
        </w:rPr>
        <w:t>4. 准备生物制造专项产品方案</w:t>
      </w:r>
    </w:p>
    <w:p>
      <w:r>
        <w:rPr>
          <w:rFonts w:ascii="华文楷体" w:hAnsi="华文楷体" w:eastAsia="华文楷体"/>
          <w:sz w:val="22"/>
        </w:rPr>
        <w:t>浙江生物制造400余家企业中大量为科技型中小企业，建议准备普惠金融科创贷+知识产权质押的标准化产品方案，同时联动产品经理准备科技创新再贷款专项材料。</w:t>
      </w:r>
    </w:p>
    <w:p>
      <w:r>
        <w:rPr>
          <w:rFonts w:ascii="华文楷体" w:hAnsi="华文楷体" w:eastAsia="华文楷体"/>
          <w:b/>
          <w:sz w:val="22"/>
        </w:rPr>
        <w:t>5. 内部联动需求</w:t>
      </w:r>
    </w:p>
    <w:p>
      <w:r>
        <w:rPr>
          <w:rFonts w:ascii="华文楷体" w:hAnsi="华文楷体" w:eastAsia="华文楷体"/>
          <w:sz w:val="22"/>
        </w:rPr>
        <w:t>需要联动绍兴分行（震元生物）、台州分行（拱东医疗等器械企业）和杭州分行（领挚科技等AI制药企业），同时协调科创贷产品经理和跨境业务团队，形成"区域分行+专业产品"的联动展业模式。</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