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华文楷体" w:hAnsi="华文楷体" w:eastAsia="华文楷体"/>
        </w:rPr>
        <w:t>生物医药行业商机周报</w:t>
      </w:r>
    </w:p>
    <w:p>
      <w:r>
        <w:rPr>
          <w:rFonts w:ascii="华文楷体" w:hAnsi="华文楷体" w:eastAsia="华文楷体"/>
          <w:sz w:val="24"/>
        </w:rPr>
        <w:t>覆盖周期： 2026.05.15-05.21</w:t>
      </w:r>
    </w:p>
    <w:p>
      <w:r>
        <w:rPr>
          <w:rFonts w:ascii="华文楷体" w:hAnsi="华文楷体" w:eastAsia="华文楷体"/>
          <w:sz w:val="24"/>
        </w:rPr>
        <w:t>资料来源： 国家医保局、国家药监局/中国食品药品网、财联社、新华网、36氪、药智网、生物谷、证券时报/新浪财经、上海证券报、上市公司公告与公开资料、searxng/web_search 检索结果、iFinD公告语义检索。</w:t>
      </w:r>
    </w:p>
    <w:p>
      <w:pPr>
        <w:pStyle w:val="Heading1"/>
      </w:pPr>
      <w:r>
        <w:rPr>
          <w:rFonts w:ascii="华文楷体" w:hAnsi="华文楷体" w:eastAsia="华文楷体"/>
        </w:rPr>
        <w:t>一、行业动态与发展总结</w:t>
      </w:r>
    </w:p>
    <w:p>
      <w:pPr>
        <w:pStyle w:val="Heading2"/>
      </w:pPr>
      <w:r>
        <w:rPr>
          <w:rFonts w:ascii="华文楷体" w:hAnsi="华文楷体" w:eastAsia="华文楷体"/>
        </w:rPr>
        <w:t>1. 近期政策变动</w:t>
      </w:r>
    </w:p>
    <w:p>
      <w:r>
        <w:rPr>
          <w:rFonts w:ascii="华文楷体" w:hAnsi="华文楷体" w:eastAsia="华文楷体"/>
          <w:sz w:val="24"/>
        </w:rPr>
        <w:t>国家医保局于5月上旬就《2026年国家基本医疗保险、生育保险和工伤保险药品目录及商业健康保险创新药品目录调整工作方案》公开征求意见。本轮目录调整延续“基本医保保基本”的定位，同时明确“真支持创新、支持真创新、支持差异化创新”，并提出商保创新药目录与医保目录衔接机制。对创新药企业而言，最大变化是支付端不再只有基本医保谈判一条路径，临床价值突出但价格、适应症、患者分层更复杂的产品，有望通过商保创新药目录获得更灵活的支付空间。</w:t>
      </w:r>
    </w:p>
    <w:p>
      <w:r>
        <w:rPr>
          <w:rFonts w:ascii="华文楷体" w:hAnsi="华文楷体" w:eastAsia="华文楷体"/>
          <w:sz w:val="24"/>
        </w:rPr>
        <w:t>本轮方案还允许符合条件的创新药“预申报”：申报启动时尚未正式获批、但已完成技术审评的药品，可先进入目录调整流程，后续按要求补充注册批件。该机制实质上把药监审评与医保准入的时间差压缩，有利于创新药上市后更快进入支付端验证，也会提升企业上市前生产准备、渠道铺设、学术推广和现金流安排的前置需求。</w:t>
      </w:r>
    </w:p>
    <w:p>
      <w:r>
        <w:rPr>
          <w:rFonts w:ascii="华文楷体" w:hAnsi="华文楷体" w:eastAsia="华文楷体"/>
          <w:sz w:val="24"/>
        </w:rPr>
        <w:t>国家药监局发布的2025年度药品审评报告显示，2025年药品注册申请受理量和审结量均创近五年新高，全年批准上市创新药76个品种，创新药获批数量创历史新高；罕见病、儿童用药等临床急需方向也保持较高审评支持力度。结合近期CDE受理数据，生物制品IND申请与化药IND申请已非常接近，说明研发重心继续向生物药、ADC、双抗、细胞与基因治疗等复杂技术平台迁移。</w:t>
      </w:r>
    </w:p>
    <w:p>
      <w:r>
        <w:rPr>
          <w:rFonts w:ascii="华文楷体" w:hAnsi="华文楷体" w:eastAsia="华文楷体"/>
          <w:sz w:val="24"/>
        </w:rPr>
        <w:t>综合影响闭环： 政策信号从“控费”进一步转向“控费中支持真创新”。创新药企业的经营含义是研发、注册、准入、商业化节奏被压缩，资金需求更前置；CXO/CDMO企业的含义是临床试验、注册申报、工艺放大和商业化生产订单有望改善；银行可围绕研发流动资金、设备更新、临床服务订单、医保准入后备货、跨境BD收付款等场景，配置普惠金融科创贷、短贷、订单融资、国内信用证、跨境支付结算、人民币国际证+福费廷和数字财资。</w:t>
      </w:r>
    </w:p>
    <w:p>
      <w:pPr>
        <w:pStyle w:val="Heading2"/>
      </w:pPr>
      <w:r>
        <w:rPr>
          <w:rFonts w:ascii="华文楷体" w:hAnsi="华文楷体" w:eastAsia="华文楷体"/>
        </w:rPr>
        <w:t>2. 政府规划与产业方向</w:t>
      </w:r>
    </w:p>
    <w:p>
      <w:r>
        <w:rPr>
          <w:rFonts w:ascii="华文楷体" w:hAnsi="华文楷体" w:eastAsia="华文楷体"/>
          <w:sz w:val="24"/>
        </w:rPr>
        <w:t>国家层面继续把创新药、高端医疗器械、AI医疗、脑机接口、合成生物学等纳入科技创新和未来产业方向。新华网本周科技频道持续关注脑机接口、医学AI可解释性、AI终端等方向，药智网首页也出现新版基本药物目录、AI药品临床综合评价、高值耗材集采落地等议题，说明医药产业的政策主线正在从单一药品价格治理，延伸到支付、数据、AI辅助评价、医疗器械国产替代和供应链效率。</w:t>
      </w:r>
    </w:p>
    <w:p>
      <w:r>
        <w:rPr>
          <w:rFonts w:ascii="华文楷体" w:hAnsi="华文楷体" w:eastAsia="华文楷体"/>
          <w:sz w:val="24"/>
        </w:rPr>
        <w:t>从银行视角看，国家规划对应两类机会：一类是创新药、医疗器械企业的研发与产业化资金需求；另一类是医药流通、IVD、医学检验和数据平台企业的数字化、回款和供应链金融需求。对于具备国家级专精特新、科技型中小企业、高新技术企业标签的客户，可优先匹配普惠金融科创贷、科技创新和技术更新改造再贷款、平安租赁和数字财资。</w:t>
      </w:r>
    </w:p>
    <w:p>
      <w:pPr>
        <w:pStyle w:val="Heading2"/>
      </w:pPr>
      <w:r>
        <w:rPr>
          <w:rFonts w:ascii="华文楷体" w:hAnsi="华文楷体" w:eastAsia="华文楷体"/>
        </w:rPr>
        <w:t>3. 行业发展趋势</w:t>
      </w:r>
    </w:p>
    <w:p>
      <w:r>
        <w:rPr>
          <w:rFonts w:ascii="华文楷体" w:hAnsi="华文楷体" w:eastAsia="华文楷体"/>
          <w:sz w:val="24"/>
        </w:rPr>
        <w:t>本周行业主线是“创新药与CXO修复、高值耗材与仿制药继续控费、AI医疗与数据要素寻找第二曲线”。多家券商和行业媒体对2025年报及2026年一季报的复盘显示，创新药及产业链维持相对高景气，CXO板块订单和利润端出现改善；同时仿制药、部分医疗耗材、医药流通仍受集采、DRG/DIP、医院控费和账期压力影响。</w:t>
      </w:r>
    </w:p>
    <w:p>
      <w:r>
        <w:rPr>
          <w:rFonts w:ascii="华文楷体" w:hAnsi="华文楷体" w:eastAsia="华文楷体"/>
          <w:sz w:val="24"/>
        </w:rPr>
        <w:t>更值得客户经理关注的是行业分化：有创新产品收入放量、CDMO在手订单、海外客户或License-out能力的企业，融资需求往往是增长型；而处于集采压价、医院账期拉长、库存周转下降的企业，需求更多是应收账款、票据贴现、短贷和现金管理。风险上，应重点识别研发失败、产品未进医保、集采降价、应收账款上升、汇兑损失和海外监管变化。</w:t>
      </w:r>
    </w:p>
    <w:p>
      <w:pPr>
        <w:pStyle w:val="Heading2"/>
      </w:pPr>
      <w:r>
        <w:rPr>
          <w:rFonts w:ascii="华文楷体" w:hAnsi="华文楷体" w:eastAsia="华文楷体"/>
        </w:rPr>
        <w:t>4. 上下游产业链动态</w:t>
      </w:r>
    </w:p>
    <w:p>
      <w:r>
        <w:rPr>
          <w:rFonts w:ascii="华文楷体" w:hAnsi="华文楷体" w:eastAsia="华文楷体"/>
          <w:sz w:val="24"/>
        </w:rPr>
        <w:t>上游原料药与中间体环节仍呈分化，传统品种价格承压，但GLP-1、复杂制剂、特色原料药和新项目商业化仍有增量。中游创新药研发、临床CRO、CDMO环节受国内创新药BD、海外研发需求修复和注册审批提速带动，订单能见度改善。下游医药商业、医院终端和检验服务端则面临控费、账期和医保支付方式改革压力。</w:t>
      </w:r>
    </w:p>
    <w:p>
      <w:r>
        <w:rPr>
          <w:rFonts w:ascii="华文楷体" w:hAnsi="华文楷体" w:eastAsia="华文楷体"/>
          <w:sz w:val="24"/>
        </w:rPr>
        <w:t>资金占用最大的环节集中在三类：第一，创新药企业临床试验和上市前备货；第二，CDMO/医疗器械企业产能建设和设备采购；第三，医药流通、IVD和耗材企业对医院客户的应收账款。银行切入宜采用“核心企业+上下游”方式：对核心企业做数字财资、资产池、国内信用证和票据；对供应商做订单融资、付融通、商票保贴/商票e贴；对经销商和终端渠道做订货贷、平台数字贷和慧收款。</w:t>
      </w:r>
    </w:p>
    <w:p>
      <w:pPr>
        <w:pStyle w:val="Heading1"/>
      </w:pPr>
      <w:r>
        <w:rPr>
          <w:rFonts w:ascii="华文楷体" w:hAnsi="华文楷体" w:eastAsia="华文楷体"/>
        </w:rPr>
        <w:t>二、浙江地区动态与区域机会</w:t>
      </w:r>
    </w:p>
    <w:p>
      <w:pPr>
        <w:pStyle w:val="Heading2"/>
      </w:pPr>
      <w:r>
        <w:rPr>
          <w:rFonts w:ascii="华文楷体" w:hAnsi="华文楷体" w:eastAsia="华文楷体"/>
        </w:rPr>
        <w:t>1. 浙江政策与政府规划</w:t>
      </w:r>
    </w:p>
    <w:p>
      <w:r>
        <w:rPr>
          <w:rFonts w:ascii="华文楷体" w:hAnsi="华文楷体" w:eastAsia="华文楷体"/>
          <w:sz w:val="24"/>
        </w:rPr>
        <w:t>浙江生物医药仍应放在“415X”先进制造业集群和生命健康科创高地框架下理解。杭州具备创新药、临床CRO、医学检验、AI医疗和医药商业总部优势；台州、绍兴、金华等地具备原料药、制剂、耗材和CDMO制造基础；宁波、温州、嘉兴、湖州则适合关注高端器械、生命健康园区和长三角协同配套。</w:t>
      </w:r>
    </w:p>
    <w:p>
      <w:r>
        <w:rPr>
          <w:rFonts w:ascii="华文楷体" w:hAnsi="华文楷体" w:eastAsia="华文楷体"/>
          <w:sz w:val="24"/>
        </w:rPr>
        <w:t>近期公开信息显示，浙江本地上市药企的一季报与投资者交流集中释放两类信号：杭州创新药、临床CRO和AI检验企业正在从研发、数据、服务能力转向商业化放量；台州、金华等地原料药、耗材企业则处于价格压力和新产品爬坡并存阶段。对本地企业而言，政策与规划带来的机会不是简单补贴，而是项目申报、设备更新、专精特新培育、产业基金对接、数据要素合作和跨境业务支持。</w:t>
      </w:r>
    </w:p>
    <w:p>
      <w:pPr>
        <w:pStyle w:val="Heading2"/>
      </w:pPr>
      <w:r>
        <w:rPr>
          <w:rFonts w:ascii="华文楷体" w:hAnsi="华文楷体" w:eastAsia="华文楷体"/>
        </w:rPr>
        <w:t>2. 浙江重点产业与区域机会</w:t>
      </w:r>
    </w:p>
    <w:p>
      <w:r>
        <w:rPr>
          <w:rFonts w:ascii="华文楷体" w:hAnsi="华文楷体" w:eastAsia="华文楷体"/>
          <w:sz w:val="24"/>
        </w:rPr>
        <w:t>杭州建议重点扫客三类企业：华东医药等创新药/医药商业龙头，泰格医药等临床CRO平台，迪安诊断等医学检验与AI医疗数据平台。它们共同特点是总部决策链在杭州、客户和供应商网络广、资金账户和跨境场景复杂，适合综合金融深挖。</w:t>
      </w:r>
    </w:p>
    <w:p>
      <w:r>
        <w:rPr>
          <w:rFonts w:ascii="华文楷体" w:hAnsi="华文楷体" w:eastAsia="华文楷体"/>
          <w:sz w:val="24"/>
        </w:rPr>
        <w:t>台州建议聚焦华海药业、拱东医疗以及当地原料药、医疗耗材、制剂配套企业。台州医药产业链制造属性强，客户经理应更多关注设备更新、出口结算、原材料采购、应收账款与票据流转。金华/东阳建议聚焦普洛药业及其上下游CDMO、原料药、包材、环保和设备供应商，围绕商业化订单和产能爬坡做供应链获客。</w:t>
      </w:r>
    </w:p>
    <w:p>
      <w:pPr>
        <w:pStyle w:val="Heading2"/>
      </w:pPr>
      <w:r>
        <w:rPr>
          <w:rFonts w:ascii="华文楷体" w:hAnsi="华文楷体" w:eastAsia="华文楷体"/>
        </w:rPr>
        <w:t>3. 浙江上下游产业链动态</w:t>
      </w:r>
    </w:p>
    <w:p>
      <w:r>
        <w:rPr>
          <w:rFonts w:ascii="华文楷体" w:hAnsi="华文楷体" w:eastAsia="华文楷体"/>
          <w:sz w:val="24"/>
        </w:rPr>
        <w:t>浙江上游以特色原料药、中间体、包材、实验耗材和设备为主，受海外订单、汇率、环保和原材料价格影响较大；中游包括创新药研发、临床CRO、CDMO、制剂和医疗器械制造；下游包括医药商业、检验服务、医院终端、基层医疗和连锁药房。</w:t>
      </w:r>
    </w:p>
    <w:p>
      <w:r>
        <w:rPr>
          <w:rFonts w:ascii="华文楷体" w:hAnsi="华文楷体" w:eastAsia="华文楷体"/>
          <w:sz w:val="24"/>
        </w:rPr>
        <w:t>本周最值得关注的传导链条是：医保与商保目录机制优化 → 创新药商业化预期改善 → 临床CRO/CDMO订单改善 → 原料药、包材、耗材和设备企业订单增加。相应资金需求包括研发流动资金、设备融资、订单融资、应收账款融资、票据贴现和跨境结算。核心企业可带动批量获客的方向包括华东医药创新产品链条、泰格医药临床服务链条、普洛药业CDMO供应链、迪安诊断检验/数据生态和英特集团医药流通网络。</w:t>
      </w:r>
    </w:p>
    <w:p>
      <w:pPr>
        <w:pStyle w:val="Heading2"/>
      </w:pPr>
      <w:r>
        <w:rPr>
          <w:rFonts w:ascii="华文楷体" w:hAnsi="华文楷体" w:eastAsia="华文楷体"/>
        </w:rPr>
        <w:t>4. 银行展业机会</w:t>
      </w:r>
    </w:p>
    <w:p>
      <w:r>
        <w:rPr>
          <w:rFonts w:ascii="华文楷体" w:hAnsi="华文楷体" w:eastAsia="华文楷体"/>
          <w:sz w:val="24"/>
        </w:rPr>
        <w:t>1. 围绕杭州创新药与临床CRO客户，主推普惠金融科创贷、短贷、数字财资和跨境支付结算，切入研发、临床、BD和商业化备货。</w:t>
      </w:r>
    </w:p>
    <w:p>
      <w:r>
        <w:rPr>
          <w:rFonts w:ascii="华文楷体" w:hAnsi="华文楷体" w:eastAsia="华文楷体"/>
          <w:sz w:val="24"/>
        </w:rPr>
        <w:t>2. 围绕台州原料药和医疗耗材制造，主推科技创新和技术更新改造再贷款、平安租赁、银票贴现和新银关通，切入设备更新、出口结算和票据流。</w:t>
      </w:r>
    </w:p>
    <w:p>
      <w:r>
        <w:rPr>
          <w:rFonts w:ascii="华文楷体" w:hAnsi="华文楷体" w:eastAsia="华文楷体"/>
          <w:sz w:val="24"/>
        </w:rPr>
        <w:t>3. 围绕医药商业和检验服务企业，主推付融通、保理、商票保贴/商票e贴、慧收款和资产池，缓解医院账期与多账户管理压力。</w:t>
      </w:r>
    </w:p>
    <w:p>
      <w:r>
        <w:rPr>
          <w:rFonts w:ascii="华文楷体" w:hAnsi="华文楷体" w:eastAsia="华文楷体"/>
          <w:sz w:val="24"/>
        </w:rPr>
        <w:t>4. 围绕核心企业上下游批量获客，使用订单融资、订货贷、平台数字贷和普惠金融场景化方案，把核心企业订单、采购和回款数据转化为授信依据。</w:t>
      </w:r>
    </w:p>
    <w:p>
      <w:pPr>
        <w:pStyle w:val="Heading1"/>
      </w:pPr>
      <w:r>
        <w:rPr>
          <w:rFonts w:ascii="华文楷体" w:hAnsi="华文楷体" w:eastAsia="华文楷体"/>
        </w:rPr>
        <w:t>三、重点企业推荐</w:t>
      </w:r>
    </w:p>
    <w:p>
      <w:pPr>
        <w:pStyle w:val="Heading2"/>
      </w:pPr>
      <w:r>
        <w:rPr>
          <w:rFonts w:ascii="华文楷体" w:hAnsi="华文楷体" w:eastAsia="华文楷体"/>
        </w:rPr>
        <w:t>企业名称：华东医药股份有限公司</w:t>
      </w:r>
    </w:p>
    <w:p>
      <w:r>
        <w:rPr>
          <w:rFonts w:ascii="华文楷体" w:hAnsi="华文楷体" w:eastAsia="华文楷体"/>
          <w:sz w:val="24"/>
        </w:rPr>
        <w:t>• 推荐等级： 高</w:t>
      </w:r>
    </w:p>
    <w:p>
      <w:r>
        <w:rPr>
          <w:rFonts w:ascii="华文楷体" w:hAnsi="华文楷体" w:eastAsia="华文楷体"/>
          <w:sz w:val="24"/>
        </w:rPr>
        <w:t>• 所属行业： 创新药、医药工业、医药商业、医美</w:t>
      </w:r>
    </w:p>
    <w:p>
      <w:r>
        <w:rPr>
          <w:rFonts w:ascii="华文楷体" w:hAnsi="华文楷体" w:eastAsia="华文楷体"/>
          <w:sz w:val="24"/>
        </w:rPr>
        <w:t>• 所在地区： 杭州</w:t>
      </w:r>
    </w:p>
    <w:p>
      <w:r>
        <w:rPr>
          <w:rFonts w:ascii="华文楷体" w:hAnsi="华文楷体" w:eastAsia="华文楷体"/>
          <w:sz w:val="24"/>
        </w:rPr>
        <w:t>• 产业链位置： 中游 / 下游 / 平台型</w:t>
      </w:r>
    </w:p>
    <w:p>
      <w:r>
        <w:rPr>
          <w:rFonts w:ascii="华文楷体" w:hAnsi="华文楷体" w:eastAsia="华文楷体"/>
          <w:sz w:val="24"/>
        </w:rPr>
        <w:t>• 推荐方向： 流动资金 / 跨境结算 / 现金管理 / 供应链金融 / 综合金融</w:t>
      </w:r>
    </w:p>
    <w:p>
      <w:r>
        <w:rPr>
          <w:rFonts w:ascii="华文楷体" w:hAnsi="华文楷体" w:eastAsia="华文楷体"/>
          <w:sz w:val="24"/>
        </w:rPr>
        <w:t>企业关键信息:</w:t>
      </w:r>
    </w:p>
    <w:p>
      <w:r>
        <w:rPr>
          <w:rFonts w:ascii="华文楷体" w:hAnsi="华文楷体" w:eastAsia="华文楷体"/>
          <w:sz w:val="24"/>
        </w:rPr>
        <w:t>• 基本情况: 公司总部位于杭州，业务覆盖医药工业、医药商业、创新药和医美。公开报道显示，2026年一季度创新产品收入8.1亿元，同比增长61.8%，占医药工业收入比例提升至20.05%。</w:t>
      </w:r>
    </w:p>
    <w:p>
      <w:r>
        <w:rPr>
          <w:rFonts w:ascii="华文楷体" w:hAnsi="华文楷体" w:eastAsia="华文楷体"/>
          <w:sz w:val="24"/>
        </w:rPr>
        <w:t>• 高层与团队背景: 公司管理层具体教育背景、导师信息需进一步以年报和公开履历核实；公开资料显示公司长期通过自主研发、外部合作和产品授权引进构建创新产品管线，具备产业资源整合能力。</w:t>
      </w:r>
    </w:p>
    <w:p>
      <w:r>
        <w:rPr>
          <w:rFonts w:ascii="华文楷体" w:hAnsi="华文楷体" w:eastAsia="华文楷体"/>
          <w:sz w:val="24"/>
        </w:rPr>
        <w:t>• 银行关注点: 创新产品放量提高公司商业化备货、渠道推广、跨境授权合作和研发投入需求；医药商业板块也带来供应链与回款管理场景。</w:t>
      </w:r>
    </w:p>
    <w:p>
      <w:r>
        <w:rPr>
          <w:rFonts w:ascii="华文楷体" w:hAnsi="华文楷体" w:eastAsia="华文楷体"/>
          <w:sz w:val="24"/>
        </w:rPr>
        <w:t>推荐理由:</w:t>
      </w:r>
    </w:p>
    <w:p>
      <w:r>
        <w:rPr>
          <w:rFonts w:ascii="华文楷体" w:hAnsi="华文楷体" w:eastAsia="华文楷体"/>
          <w:sz w:val="24"/>
        </w:rPr>
        <w:t>• 创新药收入占比提升，符合医保与商保创新药目录支持“真创新”的政策方向。</w:t>
      </w:r>
    </w:p>
    <w:p>
      <w:r>
        <w:rPr>
          <w:rFonts w:ascii="华文楷体" w:hAnsi="华文楷体" w:eastAsia="华文楷体"/>
          <w:sz w:val="24"/>
        </w:rPr>
        <w:t>• 总部在杭州，决策链和账户经营空间较清晰，适合分行重点维护。</w:t>
      </w:r>
    </w:p>
    <w:p>
      <w:r>
        <w:rPr>
          <w:rFonts w:ascii="华文楷体" w:hAnsi="华文楷体" w:eastAsia="华文楷体"/>
          <w:sz w:val="24"/>
        </w:rPr>
        <w:t>• 医药工业与商业并存，可从单一授信延伸到供应链、现金管理和跨境业务。</w:t>
      </w:r>
    </w:p>
    <w:p>
      <w:r>
        <w:rPr>
          <w:rFonts w:ascii="华文楷体" w:hAnsi="华文楷体" w:eastAsia="华文楷体"/>
          <w:sz w:val="24"/>
        </w:rPr>
        <w:t>银行展业机会:</w:t>
      </w:r>
    </w:p>
    <w:p>
      <w:r>
        <w:rPr>
          <w:rFonts w:ascii="华文楷体" w:hAnsi="华文楷体" w:eastAsia="华文楷体"/>
          <w:sz w:val="24"/>
        </w:rPr>
        <w:t>创新产品放量带来上市后备货、市场推广和研发滚动投入需求，可切入短贷、普惠金融科创贷和数字财资；如涉及海外授权、进口原料或跨境合作，可配套跨境支付结算、人民币国际证+福费廷、外币存款和平安避险；医药商业应收与票据场景可用付融通、商票保贴和资产池。</w:t>
      </w:r>
    </w:p>
    <w:p>
      <w:r>
        <w:rPr>
          <w:rFonts w:ascii="华文楷体" w:hAnsi="华文楷体" w:eastAsia="华文楷体"/>
          <w:sz w:val="24"/>
        </w:rPr>
        <w:t>推荐产品组合: 建议以数字财资和短贷作为主推产品，解决多板块资金统筹和经营周转；配套普惠金融科创贷、付融通、跨境支付结算和平安避险，用于创新药研发商业化、供应链回款和跨境收付款。额度、期限、费率及准入条件待沟通。</w:t>
      </w:r>
    </w:p>
    <w:p>
      <w:r>
        <w:rPr>
          <w:rFonts w:ascii="华文楷体" w:hAnsi="华文楷体" w:eastAsia="华文楷体"/>
          <w:sz w:val="24"/>
        </w:rPr>
        <w:t>客户经理切入话术: “华东医药今年创新产品收入占比继续提升，我们想围绕创新药商业化备货、渠道回款和跨境合作，帮贵司做一套资金效率和风险管理方案。”</w:t>
      </w:r>
    </w:p>
    <w:p>
      <w:r>
        <w:rPr>
          <w:rFonts w:ascii="华文楷体" w:hAnsi="华文楷体" w:eastAsia="华文楷体"/>
          <w:sz w:val="24"/>
        </w:rPr>
        <w:t>风险提示: 医美业务波动、创新药医保准入不确定、研发投入周期长；仍需结合财报、授信结构、应收账款和合同情况尽调。</w:t>
      </w:r>
    </w:p>
    <w:p>
      <w:pPr>
        <w:pStyle w:val="Heading2"/>
      </w:pPr>
      <w:r>
        <w:rPr>
          <w:rFonts w:ascii="华文楷体" w:hAnsi="华文楷体" w:eastAsia="华文楷体"/>
        </w:rPr>
        <w:t>企业名称：杭州泰格医药科技股份有限公司</w:t>
      </w:r>
    </w:p>
    <w:p>
      <w:r>
        <w:rPr>
          <w:rFonts w:ascii="华文楷体" w:hAnsi="华文楷体" w:eastAsia="华文楷体"/>
          <w:sz w:val="24"/>
        </w:rPr>
        <w:t>• 推荐等级： 高</w:t>
      </w:r>
    </w:p>
    <w:p>
      <w:r>
        <w:rPr>
          <w:rFonts w:ascii="华文楷体" w:hAnsi="华文楷体" w:eastAsia="华文楷体"/>
          <w:sz w:val="24"/>
        </w:rPr>
        <w:t>• 所属行业： 临床CRO、药物研发服务</w:t>
      </w:r>
    </w:p>
    <w:p>
      <w:r>
        <w:rPr>
          <w:rFonts w:ascii="华文楷体" w:hAnsi="华文楷体" w:eastAsia="华文楷体"/>
          <w:sz w:val="24"/>
        </w:rPr>
        <w:t>• 所在地区： 杭州</w:t>
      </w:r>
    </w:p>
    <w:p>
      <w:r>
        <w:rPr>
          <w:rFonts w:ascii="华文楷体" w:hAnsi="华文楷体" w:eastAsia="华文楷体"/>
          <w:sz w:val="24"/>
        </w:rPr>
        <w:t>• 产业链位置： 中游 / 服务商</w:t>
      </w:r>
    </w:p>
    <w:p>
      <w:r>
        <w:rPr>
          <w:rFonts w:ascii="华文楷体" w:hAnsi="华文楷体" w:eastAsia="华文楷体"/>
          <w:sz w:val="24"/>
        </w:rPr>
        <w:t>• 推荐方向： 流动资金 / 跨境结算 / 现金管理 / 代发 / 综合金融</w:t>
      </w:r>
    </w:p>
    <w:p>
      <w:r>
        <w:rPr>
          <w:rFonts w:ascii="华文楷体" w:hAnsi="华文楷体" w:eastAsia="华文楷体"/>
          <w:sz w:val="24"/>
        </w:rPr>
        <w:t>企业关键信息:</w:t>
      </w:r>
    </w:p>
    <w:p>
      <w:r>
        <w:rPr>
          <w:rFonts w:ascii="华文楷体" w:hAnsi="华文楷体" w:eastAsia="华文楷体"/>
          <w:sz w:val="24"/>
        </w:rPr>
        <w:t>• 基本情况: 泰格医药为国内临床CRO龙头，总部位于杭州，服务创新药临床试验、注册和数据管理。公开报道显示，2025年新签订单101.6亿元，同比增长20.7%，临床CRO需求存在复苏信号。</w:t>
      </w:r>
    </w:p>
    <w:p>
      <w:r>
        <w:rPr>
          <w:rFonts w:ascii="华文楷体" w:hAnsi="华文楷体" w:eastAsia="华文楷体"/>
          <w:sz w:val="24"/>
        </w:rPr>
        <w:t>• 高层与团队背景: 创始及管理团队长期深耕临床试验服务和医药研发外包领域；具体教育背景、导师信息建议客户经理拜访前以年报/招股资料核实。</w:t>
      </w:r>
    </w:p>
    <w:p>
      <w:r>
        <w:rPr>
          <w:rFonts w:ascii="华文楷体" w:hAnsi="华文楷体" w:eastAsia="华文楷体"/>
          <w:sz w:val="24"/>
        </w:rPr>
        <w:t>• 银行关注点: 订单回暖意味着项目执行垫资、人员扩张、海外项目结算和多地账户管理需求增强。</w:t>
      </w:r>
    </w:p>
    <w:p>
      <w:r>
        <w:rPr>
          <w:rFonts w:ascii="华文楷体" w:hAnsi="华文楷体" w:eastAsia="华文楷体"/>
          <w:sz w:val="24"/>
        </w:rPr>
        <w:t>推荐理由:</w:t>
      </w:r>
    </w:p>
    <w:p>
      <w:r>
        <w:rPr>
          <w:rFonts w:ascii="华文楷体" w:hAnsi="华文楷体" w:eastAsia="华文楷体"/>
          <w:sz w:val="24"/>
        </w:rPr>
        <w:t>• 政策推动创新药审评与医保准入提速，临床CRO直接受益。</w:t>
      </w:r>
    </w:p>
    <w:p>
      <w:r>
        <w:rPr>
          <w:rFonts w:ascii="华文楷体" w:hAnsi="华文楷体" w:eastAsia="华文楷体"/>
          <w:sz w:val="24"/>
        </w:rPr>
        <w:t>• 新签订单增长改善收入能见度，适合围绕订单和项目周期设计融资。</w:t>
      </w:r>
    </w:p>
    <w:p>
      <w:r>
        <w:rPr>
          <w:rFonts w:ascii="华文楷体" w:hAnsi="华文楷体" w:eastAsia="华文楷体"/>
          <w:sz w:val="24"/>
        </w:rPr>
        <w:t>• 员工和项目分布广，代发、薪酬、人事及财资管理空间较大。</w:t>
      </w:r>
    </w:p>
    <w:p>
      <w:r>
        <w:rPr>
          <w:rFonts w:ascii="华文楷体" w:hAnsi="华文楷体" w:eastAsia="华文楷体"/>
          <w:sz w:val="24"/>
        </w:rPr>
        <w:t>银行展业机会:</w:t>
      </w:r>
    </w:p>
    <w:p>
      <w:r>
        <w:rPr>
          <w:rFonts w:ascii="华文楷体" w:hAnsi="华文楷体" w:eastAsia="华文楷体"/>
          <w:sz w:val="24"/>
        </w:rPr>
        <w:t>临床项目执行周期长，前期人力、中心费用、数据管理费用较多，可用短贷、网上自由贷和订单融资解决周转；海外临床与跨境客户回款可切入跨境支付结算、外币存款和平安避险；员工规模大可配套平安薪和口袋管家。</w:t>
      </w:r>
    </w:p>
    <w:p>
      <w:r>
        <w:rPr>
          <w:rFonts w:ascii="华文楷体" w:hAnsi="华文楷体" w:eastAsia="华文楷体"/>
          <w:sz w:val="24"/>
        </w:rPr>
        <w:t>推荐产品组合: 建议以短贷和数字财资为主推，解决项目制回款周期和多账户管理；配套跨境支付结算、平安薪、口袋管家，用于海外客户回款和员工管理。额度、期限、费率及准入条件待沟通。</w:t>
      </w:r>
    </w:p>
    <w:p>
      <w:r>
        <w:rPr>
          <w:rFonts w:ascii="华文楷体" w:hAnsi="华文楷体" w:eastAsia="华文楷体"/>
          <w:sz w:val="24"/>
        </w:rPr>
        <w:t>客户经理切入话术: “创新药临床需求在修复，泰格订单执行会带来阶段性垫资和跨境收付款，我们可以先从项目回款节奏和账户效率帮您测一版方案。”</w:t>
      </w:r>
    </w:p>
    <w:p>
      <w:r>
        <w:rPr>
          <w:rFonts w:ascii="华文楷体" w:hAnsi="华文楷体" w:eastAsia="华文楷体"/>
          <w:sz w:val="24"/>
        </w:rPr>
        <w:t>风险提示: CRO订单执行受创新药投融资、监管政策和客户研发进度影响；需关注客户集中度、海外项目回款和汇率风险。</w:t>
      </w:r>
    </w:p>
    <w:p>
      <w:pPr>
        <w:pStyle w:val="Heading2"/>
      </w:pPr>
      <w:r>
        <w:rPr>
          <w:rFonts w:ascii="华文楷体" w:hAnsi="华文楷体" w:eastAsia="华文楷体"/>
        </w:rPr>
        <w:t>企业名称：普洛药业股份有限公司</w:t>
      </w:r>
    </w:p>
    <w:p>
      <w:r>
        <w:rPr>
          <w:rFonts w:ascii="华文楷体" w:hAnsi="华文楷体" w:eastAsia="华文楷体"/>
          <w:sz w:val="24"/>
        </w:rPr>
        <w:t>• 推荐等级： 高</w:t>
      </w:r>
    </w:p>
    <w:p>
      <w:r>
        <w:rPr>
          <w:rFonts w:ascii="华文楷体" w:hAnsi="华文楷体" w:eastAsia="华文楷体"/>
          <w:sz w:val="24"/>
        </w:rPr>
        <w:t>• 所属行业： 原料药、CDMO、制剂</w:t>
      </w:r>
    </w:p>
    <w:p>
      <w:r>
        <w:rPr>
          <w:rFonts w:ascii="华文楷体" w:hAnsi="华文楷体" w:eastAsia="华文楷体"/>
          <w:sz w:val="24"/>
        </w:rPr>
        <w:t>• 所在地区： 金华东阳</w:t>
      </w:r>
    </w:p>
    <w:p>
      <w:r>
        <w:rPr>
          <w:rFonts w:ascii="华文楷体" w:hAnsi="华文楷体" w:eastAsia="华文楷体"/>
          <w:sz w:val="24"/>
        </w:rPr>
        <w:t>• 产业链位置： 上游 / 中游</w:t>
      </w:r>
    </w:p>
    <w:p>
      <w:r>
        <w:rPr>
          <w:rFonts w:ascii="华文楷体" w:hAnsi="华文楷体" w:eastAsia="华文楷体"/>
          <w:sz w:val="24"/>
        </w:rPr>
        <w:t>• 推荐方向： 流动资金 / 供应链金融 / 票据 / 跨境结算 / 设备融资</w:t>
      </w:r>
    </w:p>
    <w:p>
      <w:r>
        <w:rPr>
          <w:rFonts w:ascii="华文楷体" w:hAnsi="华文楷体" w:eastAsia="华文楷体"/>
          <w:sz w:val="24"/>
        </w:rPr>
        <w:t>企业关键信息:</w:t>
      </w:r>
    </w:p>
    <w:p>
      <w:r>
        <w:rPr>
          <w:rFonts w:ascii="华文楷体" w:hAnsi="华文楷体" w:eastAsia="华文楷体"/>
          <w:sz w:val="24"/>
        </w:rPr>
        <w:t>• 基本情况: 公司位于浙江东阳横店，业务涵盖原料药、CDMO、制剂。公开信息显示，CDMO业务为重要增长板块，未来三年商业化在手订单超过60亿元，一季度新签增量订单约8亿元，2026年CDMO业务目标保持增长。</w:t>
      </w:r>
    </w:p>
    <w:p>
      <w:r>
        <w:rPr>
          <w:rFonts w:ascii="华文楷体" w:hAnsi="华文楷体" w:eastAsia="华文楷体"/>
          <w:sz w:val="24"/>
        </w:rPr>
        <w:t>• 高层与团队背景: 公司隶属横店集团医药产业体系，技术和生产团队覆盖横店、上海、杭州、美国波士顿等研发中心；核心个人教育背景需进一步核实。</w:t>
      </w:r>
    </w:p>
    <w:p>
      <w:r>
        <w:rPr>
          <w:rFonts w:ascii="华文楷体" w:hAnsi="华文楷体" w:eastAsia="华文楷体"/>
          <w:sz w:val="24"/>
        </w:rPr>
        <w:t>• 银行关注点: CDMO订单兑现带来原料采购、设备更新、产能爬坡、出口结算和上下游供应链融资机会。</w:t>
      </w:r>
    </w:p>
    <w:p>
      <w:r>
        <w:rPr>
          <w:rFonts w:ascii="华文楷体" w:hAnsi="华文楷体" w:eastAsia="华文楷体"/>
          <w:sz w:val="24"/>
        </w:rPr>
        <w:t>推荐理由:</w:t>
      </w:r>
    </w:p>
    <w:p>
      <w:r>
        <w:rPr>
          <w:rFonts w:ascii="华文楷体" w:hAnsi="华文楷体" w:eastAsia="华文楷体"/>
          <w:sz w:val="24"/>
        </w:rPr>
        <w:t>• CDMO景气修复与商业化订单储备形成明确经营信号。</w:t>
      </w:r>
    </w:p>
    <w:p>
      <w:r>
        <w:rPr>
          <w:rFonts w:ascii="华文楷体" w:hAnsi="华文楷体" w:eastAsia="华文楷体"/>
          <w:sz w:val="24"/>
        </w:rPr>
        <w:t>• 浙江制造属性强，适合从订单、设备和票据场景切入。</w:t>
      </w:r>
    </w:p>
    <w:p>
      <w:r>
        <w:rPr>
          <w:rFonts w:ascii="华文楷体" w:hAnsi="华文楷体" w:eastAsia="华文楷体"/>
          <w:sz w:val="24"/>
        </w:rPr>
        <w:t>• 上下游供应商较多，可复制供应链金融批量获客。</w:t>
      </w:r>
    </w:p>
    <w:p>
      <w:r>
        <w:rPr>
          <w:rFonts w:ascii="华文楷体" w:hAnsi="华文楷体" w:eastAsia="华文楷体"/>
          <w:sz w:val="24"/>
        </w:rPr>
        <w:t>银行展业机会:</w:t>
      </w:r>
    </w:p>
    <w:p>
      <w:r>
        <w:rPr>
          <w:rFonts w:ascii="华文楷体" w:hAnsi="华文楷体" w:eastAsia="华文楷体"/>
          <w:sz w:val="24"/>
        </w:rPr>
        <w:t>商业化订单带来原料采购和生产周转，可切入订单融资、短贷、国内信用证和银票贴现；设备与产线升级可用科技创新和技术更新改造再贷款、平安租赁；出口及海外客户可用跨境支付结算、人民币国际证+福费廷、新银关通和平安避险。</w:t>
      </w:r>
    </w:p>
    <w:p>
      <w:r>
        <w:rPr>
          <w:rFonts w:ascii="华文楷体" w:hAnsi="华文楷体" w:eastAsia="华文楷体"/>
          <w:sz w:val="24"/>
        </w:rPr>
        <w:t>推荐产品组合: 建议以订单融资和科技创新和技术更新改造再贷款为主推，解决订单生产与设备更新；配套银票极速贴现、国内信用证、跨境支付结算和平安避险。额度、期限、费率及准入条件待沟通。</w:t>
      </w:r>
    </w:p>
    <w:p>
      <w:r>
        <w:rPr>
          <w:rFonts w:ascii="华文楷体" w:hAnsi="华文楷体" w:eastAsia="华文楷体"/>
          <w:sz w:val="24"/>
        </w:rPr>
        <w:t>客户经理切入话术: “普洛CDMO订单能见度较好，我们想围绕未来订单交付、原料采购和设备更新，给贵司和核心供应商一起设计供应链金融方案。”</w:t>
      </w:r>
    </w:p>
    <w:p>
      <w:r>
        <w:rPr>
          <w:rFonts w:ascii="华文楷体" w:hAnsi="华文楷体" w:eastAsia="华文楷体"/>
          <w:sz w:val="24"/>
        </w:rPr>
        <w:t>风险提示: 原料药价格、环保监管、海外客户审计、汇率和订单延期风险；需核实在手订单质量、应收账款和产能利用率。</w:t>
      </w:r>
    </w:p>
    <w:p>
      <w:pPr>
        <w:pStyle w:val="Heading2"/>
      </w:pPr>
      <w:r>
        <w:rPr>
          <w:rFonts w:ascii="华文楷体" w:hAnsi="华文楷体" w:eastAsia="华文楷体"/>
        </w:rPr>
        <w:t>企业名称：迪安诊断技术集团股份有限公司</w:t>
      </w:r>
    </w:p>
    <w:p>
      <w:r>
        <w:rPr>
          <w:rFonts w:ascii="华文楷体" w:hAnsi="华文楷体" w:eastAsia="华文楷体"/>
          <w:sz w:val="24"/>
        </w:rPr>
        <w:t>• 推荐等级： 中高</w:t>
      </w:r>
    </w:p>
    <w:p>
      <w:r>
        <w:rPr>
          <w:rFonts w:ascii="华文楷体" w:hAnsi="华文楷体" w:eastAsia="华文楷体"/>
          <w:sz w:val="24"/>
        </w:rPr>
        <w:t>• 所属行业： 医学检验、IVD、AI医疗数据</w:t>
      </w:r>
    </w:p>
    <w:p>
      <w:r>
        <w:rPr>
          <w:rFonts w:ascii="华文楷体" w:hAnsi="华文楷体" w:eastAsia="华文楷体"/>
          <w:sz w:val="24"/>
        </w:rPr>
        <w:t>• 所在地区： 杭州</w:t>
      </w:r>
    </w:p>
    <w:p>
      <w:r>
        <w:rPr>
          <w:rFonts w:ascii="华文楷体" w:hAnsi="华文楷体" w:eastAsia="华文楷体"/>
          <w:sz w:val="24"/>
        </w:rPr>
        <w:t>• 产业链位置： 下游 / 平台型 / 服务商</w:t>
      </w:r>
    </w:p>
    <w:p>
      <w:r>
        <w:rPr>
          <w:rFonts w:ascii="华文楷体" w:hAnsi="华文楷体" w:eastAsia="华文楷体"/>
          <w:sz w:val="24"/>
        </w:rPr>
        <w:t>• 推荐方向： 应收账款融资 / 现金管理 / 数字化结算 / 代发 / 综合金融</w:t>
      </w:r>
    </w:p>
    <w:p>
      <w:r>
        <w:rPr>
          <w:rFonts w:ascii="华文楷体" w:hAnsi="华文楷体" w:eastAsia="华文楷体"/>
          <w:sz w:val="24"/>
        </w:rPr>
        <w:t>企业关键信息:</w:t>
      </w:r>
    </w:p>
    <w:p>
      <w:r>
        <w:rPr>
          <w:rFonts w:ascii="华文楷体" w:hAnsi="华文楷体" w:eastAsia="华文楷体"/>
          <w:sz w:val="24"/>
        </w:rPr>
        <w:t>• 基本情况: 公司总部位于杭州，主营医学诊断服务、检验外包、渠道和数据服务。公开报道显示，公司沉淀多年医疗数据，布局医疗垂类大模型和病理AI，并与杭州数据相关机构合作可信数据空间；2026年一季度实现扭亏为盈，归母净利润6437.43万元。</w:t>
      </w:r>
    </w:p>
    <w:p>
      <w:r>
        <w:rPr>
          <w:rFonts w:ascii="华文楷体" w:hAnsi="华文楷体" w:eastAsia="华文楷体"/>
          <w:sz w:val="24"/>
        </w:rPr>
        <w:t>• 高层与团队背景: 创始及管理团队长期从事第三方医学检验与诊断服务；具体学校、导师等信息未披露/待核实。</w:t>
      </w:r>
    </w:p>
    <w:p>
      <w:r>
        <w:rPr>
          <w:rFonts w:ascii="华文楷体" w:hAnsi="华文楷体" w:eastAsia="华文楷体"/>
          <w:sz w:val="24"/>
        </w:rPr>
        <w:t>• 银行关注点: 医院客户账期、实验室设备、AI产品订阅、数据合作和多地分支账户管理是主要金融场景。</w:t>
      </w:r>
    </w:p>
    <w:p>
      <w:r>
        <w:rPr>
          <w:rFonts w:ascii="华文楷体" w:hAnsi="华文楷体" w:eastAsia="华文楷体"/>
          <w:sz w:val="24"/>
        </w:rPr>
        <w:t>推荐理由:</w:t>
      </w:r>
    </w:p>
    <w:p>
      <w:r>
        <w:rPr>
          <w:rFonts w:ascii="华文楷体" w:hAnsi="华文楷体" w:eastAsia="华文楷体"/>
          <w:sz w:val="24"/>
        </w:rPr>
        <w:t>• AI医疗与医疗数据要素是浙江杭州数字经济和生命健康交叉方向。</w:t>
      </w:r>
    </w:p>
    <w:p>
      <w:r>
        <w:rPr>
          <w:rFonts w:ascii="华文楷体" w:hAnsi="华文楷体" w:eastAsia="华文楷体"/>
          <w:sz w:val="24"/>
        </w:rPr>
        <w:t>• 医学检验服务具备稳定下游需求，但账期和回款管理重要。</w:t>
      </w:r>
    </w:p>
    <w:p>
      <w:r>
        <w:rPr>
          <w:rFonts w:ascii="华文楷体" w:hAnsi="华文楷体" w:eastAsia="华文楷体"/>
          <w:sz w:val="24"/>
        </w:rPr>
        <w:t>• AI产品从试点走向规模化复制，可能产生软件订阅、设备和渠道投入。</w:t>
      </w:r>
    </w:p>
    <w:p>
      <w:r>
        <w:rPr>
          <w:rFonts w:ascii="华文楷体" w:hAnsi="华文楷体" w:eastAsia="华文楷体"/>
          <w:sz w:val="24"/>
        </w:rPr>
        <w:t>银行展业机会:</w:t>
      </w:r>
    </w:p>
    <w:p>
      <w:r>
        <w:rPr>
          <w:rFonts w:ascii="华文楷体" w:hAnsi="华文楷体" w:eastAsia="华文楷体"/>
          <w:sz w:val="24"/>
        </w:rPr>
        <w:t>医院和公卫客户账期带来保理、付融通、商票贴现和短贷需求；多实验室、多分支机构适合数字财资、慧收款和资产池；员工与专家团队可配套平安薪、口袋管家和个人金融权益。</w:t>
      </w:r>
    </w:p>
    <w:p>
      <w:r>
        <w:rPr>
          <w:rFonts w:ascii="华文楷体" w:hAnsi="华文楷体" w:eastAsia="华文楷体"/>
          <w:sz w:val="24"/>
        </w:rPr>
        <w:t>推荐产品组合: 建议以付融通/保理和数字财资为主推，解决医院应收账款和集团资金管理；配套慧收款、资产池、平安薪，用于回款对账、流动性管理和员工服务。额度、期限、费率及准入条件待沟通。</w:t>
      </w:r>
    </w:p>
    <w:p>
      <w:r>
        <w:rPr>
          <w:rFonts w:ascii="华文楷体" w:hAnsi="华文楷体" w:eastAsia="华文楷体"/>
          <w:sz w:val="24"/>
        </w:rPr>
        <w:t>客户经理切入话术: “迪安的AI检验和数据业务在加速落地，我们可以先从医院回款、实验室账户和AI产品订阅回款三个场景，帮您提升现金流效率。”</w:t>
      </w:r>
    </w:p>
    <w:p>
      <w:r>
        <w:rPr>
          <w:rFonts w:ascii="华文楷体" w:hAnsi="华文楷体" w:eastAsia="华文楷体"/>
          <w:sz w:val="24"/>
        </w:rPr>
        <w:t>风险提示: 医保控费、医院账期、检验价格下降、AI产品商业化不及预期；需重点核实应收账款账龄和现金流。</w:t>
      </w:r>
    </w:p>
    <w:p>
      <w:pPr>
        <w:pStyle w:val="Heading2"/>
      </w:pPr>
      <w:r>
        <w:rPr>
          <w:rFonts w:ascii="华文楷体" w:hAnsi="华文楷体" w:eastAsia="华文楷体"/>
        </w:rPr>
        <w:t>企业名称：浙江拱东医疗器械股份有限公司</w:t>
      </w:r>
    </w:p>
    <w:p>
      <w:r>
        <w:rPr>
          <w:rFonts w:ascii="华文楷体" w:hAnsi="华文楷体" w:eastAsia="华文楷体"/>
          <w:sz w:val="24"/>
        </w:rPr>
        <w:t>• 推荐等级： 中高</w:t>
      </w:r>
    </w:p>
    <w:p>
      <w:r>
        <w:rPr>
          <w:rFonts w:ascii="华文楷体" w:hAnsi="华文楷体" w:eastAsia="华文楷体"/>
          <w:sz w:val="24"/>
        </w:rPr>
        <w:t>• 所属行业： 一次性医用耗材、医疗器械</w:t>
      </w:r>
    </w:p>
    <w:p>
      <w:r>
        <w:rPr>
          <w:rFonts w:ascii="华文楷体" w:hAnsi="华文楷体" w:eastAsia="华文楷体"/>
          <w:sz w:val="24"/>
        </w:rPr>
        <w:t>• 所在地区： 台州</w:t>
      </w:r>
    </w:p>
    <w:p>
      <w:r>
        <w:rPr>
          <w:rFonts w:ascii="华文楷体" w:hAnsi="华文楷体" w:eastAsia="华文楷体"/>
          <w:sz w:val="24"/>
        </w:rPr>
        <w:t>• 产业链位置： 中游制造</w:t>
      </w:r>
    </w:p>
    <w:p>
      <w:r>
        <w:rPr>
          <w:rFonts w:ascii="华文楷体" w:hAnsi="华文楷体" w:eastAsia="华文楷体"/>
          <w:sz w:val="24"/>
        </w:rPr>
        <w:t>• 推荐方向： 流动资金 / 票据 / 供应链金融 / 设备融资 / 跨境结算</w:t>
      </w:r>
    </w:p>
    <w:p>
      <w:r>
        <w:rPr>
          <w:rFonts w:ascii="华文楷体" w:hAnsi="华文楷体" w:eastAsia="华文楷体"/>
          <w:sz w:val="24"/>
        </w:rPr>
        <w:t>企业关键信息:</w:t>
      </w:r>
    </w:p>
    <w:p>
      <w:r>
        <w:rPr>
          <w:rFonts w:ascii="华文楷体" w:hAnsi="华文楷体" w:eastAsia="华文楷体"/>
          <w:sz w:val="24"/>
        </w:rPr>
        <w:t>• 基本情况: 公司位于台州市黄岩区，主营一次性医用耗材研发、生产和销售。公开数据整理显示，2026年一季度营业收入2.89亿元，同比增长9.12%；归母净利润3199.21万元，同比增长16.71%。</w:t>
      </w:r>
    </w:p>
    <w:p>
      <w:r>
        <w:rPr>
          <w:rFonts w:ascii="华文楷体" w:hAnsi="华文楷体" w:eastAsia="华文楷体"/>
          <w:sz w:val="24"/>
        </w:rPr>
        <w:t>• 高层与团队背景: 公司创始及管理团队长期深耕医用耗材制造，具体教育背景和导师信息未披露/待核实。</w:t>
      </w:r>
    </w:p>
    <w:p>
      <w:r>
        <w:rPr>
          <w:rFonts w:ascii="华文楷体" w:hAnsi="华文楷体" w:eastAsia="华文楷体"/>
          <w:sz w:val="24"/>
        </w:rPr>
        <w:t>• 银行关注点: 耗材制造涉及原材料采购、模具设备、库存和渠道账期，适合票据和供应链金融切入。</w:t>
      </w:r>
    </w:p>
    <w:p>
      <w:r>
        <w:rPr>
          <w:rFonts w:ascii="华文楷体" w:hAnsi="华文楷体" w:eastAsia="华文楷体"/>
          <w:sz w:val="24"/>
        </w:rPr>
        <w:t>推荐理由:</w:t>
      </w:r>
    </w:p>
    <w:p>
      <w:r>
        <w:rPr>
          <w:rFonts w:ascii="华文楷体" w:hAnsi="华文楷体" w:eastAsia="华文楷体"/>
          <w:sz w:val="24"/>
        </w:rPr>
        <w:t>• 一季度收入和利润双增，说明耗材需求与盈利修复具备积极信号。</w:t>
      </w:r>
    </w:p>
    <w:p>
      <w:r>
        <w:rPr>
          <w:rFonts w:ascii="华文楷体" w:hAnsi="华文楷体" w:eastAsia="华文楷体"/>
          <w:sz w:val="24"/>
        </w:rPr>
        <w:t>• 台州医疗器械制造基础较强，周边供应商可批量拓展。</w:t>
      </w:r>
    </w:p>
    <w:p>
      <w:r>
        <w:rPr>
          <w:rFonts w:ascii="华文楷体" w:hAnsi="华文楷体" w:eastAsia="华文楷体"/>
          <w:sz w:val="24"/>
        </w:rPr>
        <w:t>• 医疗耗材受集采影响但刚需属性强，适合做稳健型授信和票据服务。</w:t>
      </w:r>
    </w:p>
    <w:p>
      <w:r>
        <w:rPr>
          <w:rFonts w:ascii="华文楷体" w:hAnsi="华文楷体" w:eastAsia="华文楷体"/>
          <w:sz w:val="24"/>
        </w:rPr>
        <w:t>银行展业机会:</w:t>
      </w:r>
    </w:p>
    <w:p>
      <w:r>
        <w:rPr>
          <w:rFonts w:ascii="华文楷体" w:hAnsi="华文楷体" w:eastAsia="华文楷体"/>
          <w:sz w:val="24"/>
        </w:rPr>
        <w:t>生产扩张和订单交付带来短期采购资金需求，可用短贷、银票极速贴现、国内信用证；设备更新可用平安租赁或科技创新和技术更新改造再贷款；经销商和供应商可用订货贷、订单融资、商票e贴。</w:t>
      </w:r>
    </w:p>
    <w:p>
      <w:r>
        <w:rPr>
          <w:rFonts w:ascii="华文楷体" w:hAnsi="华文楷体" w:eastAsia="华文楷体"/>
          <w:sz w:val="24"/>
        </w:rPr>
        <w:t>推荐产品组合: 建议以银票极速贴现和短贷为主推，解决采购和订单交付周转；配套平安租赁、订单融资、商票e贴，用于设备更新和上下游融资。额度、期限、费率及准入条件待沟通。</w:t>
      </w:r>
    </w:p>
    <w:p>
      <w:r>
        <w:rPr>
          <w:rFonts w:ascii="华文楷体" w:hAnsi="华文楷体" w:eastAsia="华文楷体"/>
          <w:sz w:val="24"/>
        </w:rPr>
        <w:t>客户经理切入话术: “拱东一季度收入和利润都有恢复，我们可以围绕耗材订单、原料采购和设备更新，给贵司做一套票据加供应链的组合方案。”</w:t>
      </w:r>
    </w:p>
    <w:p>
      <w:r>
        <w:rPr>
          <w:rFonts w:ascii="华文楷体" w:hAnsi="华文楷体" w:eastAsia="华文楷体"/>
          <w:sz w:val="24"/>
        </w:rPr>
        <w:t>风险提示: 集采降价、耗材价格竞争、原材料波动、出口合规和客户集中度风险；需结合订单、库存和应收账款核实。</w:t>
      </w:r>
    </w:p>
    <w:p>
      <w:pPr>
        <w:pStyle w:val="Heading2"/>
      </w:pPr>
      <w:r>
        <w:rPr>
          <w:rFonts w:ascii="华文楷体" w:hAnsi="华文楷体" w:eastAsia="华文楷体"/>
        </w:rPr>
        <w:t>企业名称：浙江华海药业股份有限公司</w:t>
      </w:r>
    </w:p>
    <w:p>
      <w:r>
        <w:rPr>
          <w:rFonts w:ascii="华文楷体" w:hAnsi="华文楷体" w:eastAsia="华文楷体"/>
          <w:sz w:val="24"/>
        </w:rPr>
        <w:t>• 推荐等级： 中</w:t>
      </w:r>
    </w:p>
    <w:p>
      <w:r>
        <w:rPr>
          <w:rFonts w:ascii="华文楷体" w:hAnsi="华文楷体" w:eastAsia="华文楷体"/>
          <w:sz w:val="24"/>
        </w:rPr>
        <w:t>• 所属行业： 特色原料药、制剂、创新药</w:t>
      </w:r>
    </w:p>
    <w:p>
      <w:r>
        <w:rPr>
          <w:rFonts w:ascii="华文楷体" w:hAnsi="华文楷体" w:eastAsia="华文楷体"/>
          <w:sz w:val="24"/>
        </w:rPr>
        <w:t>• 所在地区： 台州临海</w:t>
      </w:r>
    </w:p>
    <w:p>
      <w:r>
        <w:rPr>
          <w:rFonts w:ascii="华文楷体" w:hAnsi="华文楷体" w:eastAsia="华文楷体"/>
          <w:sz w:val="24"/>
        </w:rPr>
        <w:t>• 产业链位置： 上游 / 中游</w:t>
      </w:r>
    </w:p>
    <w:p>
      <w:r>
        <w:rPr>
          <w:rFonts w:ascii="华文楷体" w:hAnsi="华文楷体" w:eastAsia="华文楷体"/>
          <w:sz w:val="24"/>
        </w:rPr>
        <w:t>• 推荐方向： 跨境结算 / 票据 / 设备融资 / 风险管理 / 供应链金融</w:t>
      </w:r>
    </w:p>
    <w:p>
      <w:r>
        <w:rPr>
          <w:rFonts w:ascii="华文楷体" w:hAnsi="华文楷体" w:eastAsia="华文楷体"/>
          <w:sz w:val="24"/>
        </w:rPr>
        <w:t>企业关键信息:</w:t>
      </w:r>
    </w:p>
    <w:p>
      <w:r>
        <w:rPr>
          <w:rFonts w:ascii="华文楷体" w:hAnsi="华文楷体" w:eastAsia="华文楷体"/>
          <w:sz w:val="24"/>
        </w:rPr>
        <w:t>• 基本情况: 公司位于台州临海，主营多剂型仿制药、生物药、创新药及特色原料药。近期投资者交流显示，传统原料药价格承压，但新产品/新项目是未来增长基石，2026年一季度新产品项目较去年同期增长明显。</w:t>
      </w:r>
    </w:p>
    <w:p>
      <w:r>
        <w:rPr>
          <w:rFonts w:ascii="华文楷体" w:hAnsi="华文楷体" w:eastAsia="华文楷体"/>
          <w:sz w:val="24"/>
        </w:rPr>
        <w:t>• 高层与团队背景: 公司管理层长期服务于原料药和制剂国际化业务，具体教育背景、导师信息未披露/待核实。</w:t>
      </w:r>
    </w:p>
    <w:p>
      <w:r>
        <w:rPr>
          <w:rFonts w:ascii="华文楷体" w:hAnsi="华文楷体" w:eastAsia="华文楷体"/>
          <w:sz w:val="24"/>
        </w:rPr>
        <w:t>• 银行关注点: 公司具有出口、汇率、原料药价格和项目建设多重金融需求，但短期业绩承压，需审慎授信。</w:t>
      </w:r>
    </w:p>
    <w:p>
      <w:r>
        <w:rPr>
          <w:rFonts w:ascii="华文楷体" w:hAnsi="华文楷体" w:eastAsia="华文楷体"/>
          <w:sz w:val="24"/>
        </w:rPr>
        <w:t>推荐理由:</w:t>
      </w:r>
    </w:p>
    <w:p>
      <w:r>
        <w:rPr>
          <w:rFonts w:ascii="华文楷体" w:hAnsi="华文楷体" w:eastAsia="华文楷体"/>
          <w:sz w:val="24"/>
        </w:rPr>
        <w:t>• 台州原料药龙头，具备“原料药-制剂一体化”和海外市场基础。</w:t>
      </w:r>
    </w:p>
    <w:p>
      <w:r>
        <w:rPr>
          <w:rFonts w:ascii="华文楷体" w:hAnsi="华文楷体" w:eastAsia="华文楷体"/>
          <w:sz w:val="24"/>
        </w:rPr>
        <w:t>• GLP-1等新产品商业化窗口可能带动上游原料药需求。</w:t>
      </w:r>
    </w:p>
    <w:p>
      <w:r>
        <w:rPr>
          <w:rFonts w:ascii="华文楷体" w:hAnsi="华文楷体" w:eastAsia="华文楷体"/>
          <w:sz w:val="24"/>
        </w:rPr>
        <w:t>• 传统业务承压使其更需要汇率避险、现金流管理和结构化融资。</w:t>
      </w:r>
    </w:p>
    <w:p>
      <w:r>
        <w:rPr>
          <w:rFonts w:ascii="华文楷体" w:hAnsi="华文楷体" w:eastAsia="华文楷体"/>
          <w:sz w:val="24"/>
        </w:rPr>
        <w:t>银行展业机会:</w:t>
      </w:r>
    </w:p>
    <w:p>
      <w:r>
        <w:rPr>
          <w:rFonts w:ascii="华文楷体" w:hAnsi="华文楷体" w:eastAsia="华文楷体"/>
          <w:sz w:val="24"/>
        </w:rPr>
        <w:t>海外销售和原料采购可切入跨境支付结算、外币存款、平安避险、新银关通；设备与新产品项目可关注科技创新和技术更新改造再贷款、平安租赁；供应商付款和客户账期可配套银票贴现、国内信用证和付融通。</w:t>
      </w:r>
    </w:p>
    <w:p>
      <w:r>
        <w:rPr>
          <w:rFonts w:ascii="华文楷体" w:hAnsi="华文楷体" w:eastAsia="华文楷体"/>
          <w:sz w:val="24"/>
        </w:rPr>
        <w:t>推荐产品组合: 建议以跨境支付结算和平安避险为主推，解决出口回款和汇率波动；配套银票贴现、国内信用证、平安租赁，用于采购、设备和项目周转。额度、期限、费率及准入条件待沟通。</w:t>
      </w:r>
    </w:p>
    <w:p>
      <w:r>
        <w:rPr>
          <w:rFonts w:ascii="华文楷体" w:hAnsi="华文楷体" w:eastAsia="华文楷体"/>
          <w:sz w:val="24"/>
        </w:rPr>
        <w:t>客户经理切入话术: “华海今年传统品种有压力，但新产品项目在推进，我们可以先从外汇避险、采购票据和项目设备融资三个方向帮您降成本、稳现金流。”</w:t>
      </w:r>
    </w:p>
    <w:p>
      <w:r>
        <w:rPr>
          <w:rFonts w:ascii="华文楷体" w:hAnsi="华文楷体" w:eastAsia="华文楷体"/>
          <w:sz w:val="24"/>
        </w:rPr>
        <w:t>风险提示: 原料药价格下行、集采、汇兑损失、海外监管和新产品放量不确定；建议审慎评估财务指标和现金流。</w:t>
      </w:r>
    </w:p>
    <w:p>
      <w:pPr>
        <w:pStyle w:val="Heading1"/>
      </w:pPr>
      <w:r>
        <w:rPr>
          <w:rFonts w:ascii="华文楷体" w:hAnsi="华文楷体" w:eastAsia="华文楷体"/>
        </w:rPr>
        <w:t>四、客户经理行动建议</w:t>
      </w:r>
    </w:p>
    <w:p>
      <w:r>
        <w:rPr>
          <w:rFonts w:ascii="华文楷体" w:hAnsi="华文楷体" w:eastAsia="华文楷体"/>
          <w:sz w:val="24"/>
        </w:rPr>
        <w:t>1. 今天优先约访华东医药、泰格医药、普洛药业三家高优先级客户，分别从创新药商业化、临床CRO订单执行、CDMO订单交付三个场景切入。</w:t>
      </w:r>
    </w:p>
    <w:p>
      <w:r>
        <w:rPr>
          <w:rFonts w:ascii="华文楷体" w:hAnsi="华文楷体" w:eastAsia="华文楷体"/>
          <w:sz w:val="24"/>
        </w:rPr>
        <w:t>2. 对迪安诊断和浙江拱东医疗做“现金流体检”：重点询问医院/经销商账期、票据使用、应收账款账龄、设备更新计划和多账户管理痛点。</w:t>
      </w:r>
    </w:p>
    <w:p>
      <w:r>
        <w:rPr>
          <w:rFonts w:ascii="华文楷体" w:hAnsi="华文楷体" w:eastAsia="华文楷体"/>
          <w:sz w:val="24"/>
        </w:rPr>
        <w:t>3. 对华海药业采取审慎跟进策略，先从跨境结算、平安避险、银票贴现和项目设备融资切入，不急于扩大信用敞口。</w:t>
      </w:r>
    </w:p>
    <w:p>
      <w:r>
        <w:rPr>
          <w:rFonts w:ascii="华文楷体" w:hAnsi="华文楷体" w:eastAsia="华文楷体"/>
          <w:sz w:val="24"/>
        </w:rPr>
        <w:t>4. 准备三套产品包：创新药/CRO客户用“短贷+科创贷+数字财资+跨境”；CDMO/制造客户用“订单融资+银票贴现+平安租赁+新银关通”；医药流通/检验客户用“付融通/保理+慧收款+资产池”。</w:t>
      </w:r>
    </w:p>
    <w:p>
      <w:r>
        <w:rPr>
          <w:rFonts w:ascii="华文楷体" w:hAnsi="华文楷体" w:eastAsia="华文楷体"/>
          <w:sz w:val="24"/>
        </w:rPr>
        <w:t>5. 内部联动普惠、交易银行、跨境、租赁和投行产品经理，围绕核心企业上下游设计批量获客名单，优先从杭州、台州、金华三个区域推进。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rPr>
      <w:rFonts w:ascii="华文楷体" w:hAnsi="华文楷体"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rPr>
      <w:rFonts w:ascii="华文楷体" w:hAnsi="华文楷体"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rPr>
      <w:rFonts w:ascii="华文楷体" w:hAnsi="华文楷体" w:eastAsia="华文楷体"/>
    </w:rPr>
  </w:style>
  <w:style w:type="table" w:default="1" w:styleId="TableNormal">
    <w:name w:val="Normal Table"/>
    <w:uiPriority w:val="99"/>
    <w:semiHidden/>
    <w:unhideWhenUsed/>
    <w:rPr>
      <w:rFonts w:ascii="华文楷体" w:hAnsi="华文楷体" w:eastAsia="华文楷体"/>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rPr>
      <w:rFonts w:ascii="华文楷体" w:hAnsi="华文楷体" w:eastAsia="华文楷体"/>
    </w:rPr>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rPr>
      <w:rFonts w:ascii="华文楷体" w:hAnsi="华文楷体" w:eastAsia="华文楷体"/>
    </w:rPr>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rFonts w:ascii="华文楷体" w:hAnsi="华文楷体" w:eastAsia="华文楷体"/>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华文楷体" w:hAnsi="华文楷体" w:eastAsia="华文楷体"/>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rFonts w:ascii="华文楷体" w:hAnsi="华文楷体"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rFonts w:ascii="华文楷体" w:hAnsi="华文楷体" w:eastAsia="华文楷体"/>
      <w:b/>
      <w:bCs/>
    </w:rPr>
  </w:style>
  <w:style w:type="character" w:styleId="Emphasis">
    <w:name w:val="Emphasis"/>
    <w:basedOn w:val="DefaultParagraphFont"/>
    <w:uiPriority w:val="20"/>
    <w:qFormat/>
    <w:rsid w:val="00FC693F"/>
    <w:rPr>
      <w:rFonts w:ascii="华文楷体" w:hAnsi="华文楷体"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华文楷体" w:hAnsi="华文楷体" w:eastAsia="华文楷体"/>
      <w:b/>
      <w:bCs/>
      <w:i/>
      <w:iCs/>
      <w:color w:val="4F81BD" w:themeColor="accent1"/>
    </w:rPr>
  </w:style>
  <w:style w:type="character" w:styleId="SubtleEmphasis">
    <w:name w:val="Subtle Emphasis"/>
    <w:basedOn w:val="DefaultParagraphFont"/>
    <w:uiPriority w:val="19"/>
    <w:qFormat/>
    <w:rsid w:val="00FC693F"/>
    <w:rPr>
      <w:rFonts w:ascii="华文楷体" w:hAnsi="华文楷体" w:eastAsia="华文楷体"/>
      <w:i/>
      <w:iCs/>
      <w:color w:val="808080" w:themeColor="text1" w:themeTint="7F"/>
    </w:rPr>
  </w:style>
  <w:style w:type="character" w:styleId="IntenseEmphasis">
    <w:name w:val="Intense Emphasis"/>
    <w:basedOn w:val="DefaultParagraphFont"/>
    <w:uiPriority w:val="21"/>
    <w:qFormat/>
    <w:rsid w:val="00FC693F"/>
    <w:rPr>
      <w:rFonts w:ascii="华文楷体" w:hAnsi="华文楷体" w:eastAsia="华文楷体"/>
      <w:b/>
      <w:bCs/>
      <w:i/>
      <w:iCs/>
      <w:color w:val="4F81BD" w:themeColor="accent1"/>
    </w:rPr>
  </w:style>
  <w:style w:type="character" w:styleId="SubtleReference">
    <w:name w:val="Subtle Reference"/>
    <w:basedOn w:val="DefaultParagraphFont"/>
    <w:uiPriority w:val="31"/>
    <w:qFormat/>
    <w:rsid w:val="00FC693F"/>
    <w:rPr>
      <w:rFonts w:ascii="华文楷体" w:hAnsi="华文楷体" w:eastAsia="华文楷体"/>
      <w:smallCaps/>
      <w:color w:val="C0504D" w:themeColor="accent2"/>
      <w:u w:val="single"/>
    </w:rPr>
  </w:style>
  <w:style w:type="character" w:styleId="IntenseReference">
    <w:name w:val="Intense Reference"/>
    <w:basedOn w:val="DefaultParagraphFont"/>
    <w:uiPriority w:val="32"/>
    <w:qFormat/>
    <w:rsid w:val="00FC693F"/>
    <w:rPr>
      <w:rFonts w:ascii="华文楷体" w:hAnsi="华文楷体"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华文楷体" w:hAnsi="华文楷体"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rPr>
      <w:rFonts w:ascii="华文楷体" w:hAnsi="华文楷体" w:eastAsia="华文楷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华文楷体" w:hAnsi="华文楷体" w:eastAsia="华文楷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华文楷体" w:hAnsi="华文楷体" w:eastAsia="华文楷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华文楷体" w:hAnsi="华文楷体" w:eastAsia="华文楷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华文楷体" w:hAnsi="华文楷体" w:eastAsia="华文楷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华文楷体" w:hAnsi="华文楷体" w:eastAsia="华文楷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华文楷体" w:hAnsi="华文楷体" w:eastAsia="华文楷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华文楷体" w:hAnsi="华文楷体" w:eastAsia="华文楷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