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华文楷体" w:hAnsi="华文楷体" w:eastAsia="华文楷体"/>
          <w:sz w:val="24"/>
        </w:rPr>
        <w:t>生物医药行业商机周报</w:t>
      </w:r>
    </w:p>
    <w:p>
      <w:r>
        <w:rPr>
          <w:rFonts w:ascii="华文楷体" w:hAnsi="华文楷体" w:eastAsia="华文楷体"/>
          <w:sz w:val="24"/>
        </w:rPr>
        <w:t>覆盖周期： 2026.05.15-2026.05.22</w:t>
      </w:r>
    </w:p>
    <w:p>
      <w:r>
        <w:rPr>
          <w:rFonts w:ascii="华文楷体" w:hAnsi="华文楷体" w:eastAsia="华文楷体"/>
          <w:sz w:val="24"/>
        </w:rPr>
        <w:t>资料来源： 财联社、新华网、36氪、药智网、生物谷、央视网浙江、新华网浙江、新浪财经、医药魔方/ByDrug、iFinD公告语义检索、公开公司公告与官网信息。</w:t>
      </w:r>
    </w:p>
    <w:p>
      <w:pPr>
        <w:pStyle w:val="Heading1"/>
      </w:pPr>
      <w:r>
        <w:rPr>
          <w:rFonts w:ascii="华文楷体" w:hAnsi="华文楷体" w:eastAsia="华文楷体"/>
          <w:sz w:val="24"/>
        </w:rPr>
        <w:t>一、行业动态与发展总结</w:t>
      </w:r>
    </w:p>
    <w:p>
      <w:pPr>
        <w:pStyle w:val="Heading2"/>
      </w:pPr>
      <w:r>
        <w:rPr>
          <w:rFonts w:ascii="华文楷体" w:hAnsi="华文楷体" w:eastAsia="华文楷体"/>
          <w:sz w:val="24"/>
        </w:rPr>
        <w:t>1. 近期政策变动</w:t>
      </w:r>
    </w:p>
    <w:p>
      <w:r>
        <w:rPr>
          <w:rFonts w:ascii="华文楷体" w:hAnsi="华文楷体" w:eastAsia="华文楷体"/>
          <w:sz w:val="24"/>
        </w:rPr>
        <w:t>本周全国层面最重要的信号，是创新药、创新医疗器械、医疗设备更新和药械监管继续沿着“鼓励真创新、压缩同质化、强化全生命周期合规”的方向推进。国家药监体系近期披露的审评数据表明，4月CDE受理和审评规模继续保持高位，创新药IND、NDA和补充申请活跃，生物制品IND申请数量已接近甚至阶段性超过化药，说明研发资源正在向抗体、细胞治疗、基因治疗、核酸药物等复杂生物技术平台迁移。</w:t>
      </w:r>
    </w:p>
    <w:p>
      <w:r>
        <w:rPr>
          <w:rFonts w:ascii="华文楷体" w:hAnsi="华文楷体" w:eastAsia="华文楷体"/>
          <w:sz w:val="24"/>
        </w:rPr>
        <w:t>医疗器械端，国家药监局发布的医疗器械警戒检查要求，进一步细化上市后警戒、风险监测、不良事件处置和质量体系闭环。对器械企业而言，获证只是起点，持续合规、临床真实世界反馈、售后追踪和召回机制将成为招采与医院准入的重要门槛。</w:t>
      </w:r>
    </w:p>
    <w:p>
      <w:r>
        <w:rPr>
          <w:rFonts w:ascii="华文楷体" w:hAnsi="华文楷体" w:eastAsia="华文楷体"/>
          <w:sz w:val="24"/>
        </w:rPr>
        <w:t>医保和集采方面，药品和高值耗材仍处于“以价换量+临床价值筛选”阶段；创新药不简单纳入常规集采、基本药物目录和医保目录动态调整等政策信号，有利于真正具备临床差异化的创新药获得更清晰的商业化预期。但仿制药、常规耗材、部分IVD产品仍面临价格下行和渠道库存出清压力。</w:t>
      </w:r>
    </w:p>
    <w:p>
      <w:r>
        <w:rPr>
          <w:rFonts w:ascii="华文楷体" w:hAnsi="华文楷体" w:eastAsia="华文楷体"/>
          <w:sz w:val="24"/>
        </w:rPr>
        <w:t>综合影响闭环： 政策正在把行业利润从“渠道和价格红利”转向“研发效率、临床价值、质量体系和全球化能力”。经营上，企业会增加研发、注册、临床、质量体系、设备更新和海外合规投入；金融上，对中长期研发资金、项目建设资金、设备融资、票据周转、跨境结算和现金管理的需求提升。客户经理应优先识别具备真实管线、获批/临床里程碑、海外订单或产业化基地建设的企业，用科创贷、短贷、银票贴现、国内信用证、跨境结算、平安租赁和数字财资切入。</w:t>
      </w:r>
    </w:p>
    <w:p>
      <w:pPr>
        <w:pStyle w:val="Heading2"/>
      </w:pPr>
      <w:r>
        <w:rPr>
          <w:rFonts w:ascii="华文楷体" w:hAnsi="华文楷体" w:eastAsia="华文楷体"/>
          <w:sz w:val="24"/>
        </w:rPr>
        <w:t>2. 政府规划与产业方向</w:t>
      </w:r>
    </w:p>
    <w:p>
      <w:r>
        <w:rPr>
          <w:rFonts w:ascii="华文楷体" w:hAnsi="华文楷体" w:eastAsia="华文楷体"/>
          <w:sz w:val="24"/>
        </w:rPr>
        <w:t>国家层面继续把生命健康、合成生物、脑机接口、AI制药、创新医疗器械纳入未来产业和新质生产力方向。设备更新、科技创新再贷款、专精特新和产业链强链补链政策，对研发平台、生产基地、中试平台和高端设备采购形成资金支持。</w:t>
      </w:r>
    </w:p>
    <w:p>
      <w:r>
        <w:rPr>
          <w:rFonts w:ascii="华文楷体" w:hAnsi="华文楷体" w:eastAsia="华文楷体"/>
          <w:sz w:val="24"/>
        </w:rPr>
        <w:t>从产业方向看，创新药的重点已从“数量扩张”转向“高质量临床证据和国际化授权”；医疗器械从国产替代进入高端化、AI化和出海阶段；生物制造与合成生物学开始从实验室走向发酵、中试和规模化生产。银行端可围绕国家科技创新清单企业、专精特新企业、上市公司及其上下游，建立“研发资金+设备更新+供应链金融+出海结算”的组合方案。</w:t>
      </w:r>
    </w:p>
    <w:p>
      <w:pPr>
        <w:pStyle w:val="Heading2"/>
      </w:pPr>
      <w:r>
        <w:rPr>
          <w:rFonts w:ascii="华文楷体" w:hAnsi="华文楷体" w:eastAsia="华文楷体"/>
          <w:sz w:val="24"/>
        </w:rPr>
        <w:t>3. 行业发展趋势</w:t>
      </w:r>
    </w:p>
    <w:p>
      <w:r>
        <w:rPr>
          <w:rFonts w:ascii="华文楷体" w:hAnsi="华文楷体" w:eastAsia="华文楷体"/>
          <w:sz w:val="24"/>
        </w:rPr>
        <w:t>本周行业呈现明显分化：创新药、IO/ADC、基因治疗、核酸药物和AI生物模型景气度较高；传统仿制药、常规耗材和低端IVD仍在价格承压区间。4月CDE数据中生物制品IND快速增长，说明复杂生物药和新治疗方式仍是研发投入重点。ASCO相关临床数据预期显示，中国肿瘤创新药正从“跟随展示”走向“头对头临床证据竞争”。</w:t>
      </w:r>
    </w:p>
    <w:p>
      <w:r>
        <w:rPr>
          <w:rFonts w:ascii="华文楷体" w:hAnsi="华文楷体" w:eastAsia="华文楷体"/>
          <w:sz w:val="24"/>
        </w:rPr>
        <w:t>医疗设备和IVD方面，行业经历集采、医院预算收缩和渠道库存调整后，价格逐步接近合理区间。2026年可能仍有设备和化学发光等产品的价格压力，但设备更新周期、国产高端设备放量、海外市场突破和AI功能叠加将带来新的需求。</w:t>
      </w:r>
    </w:p>
    <w:p>
      <w:r>
        <w:rPr>
          <w:rFonts w:ascii="华文楷体" w:hAnsi="华文楷体" w:eastAsia="华文楷体"/>
          <w:sz w:val="24"/>
        </w:rPr>
        <w:t>银行应关注三类企业：一是有临床里程碑和融资事件的创新药/基因治疗公司；二是有国产替代和海外订单的高端器械、IVD企业；三是承担区域配送、医院终端和供应链账期的医药流通平台。风险上，应警惕单一产品依赖、研发失败、应收账款拉长、集采降价、渠道库存和合规处罚。</w:t>
      </w:r>
    </w:p>
    <w:p>
      <w:pPr>
        <w:pStyle w:val="Heading2"/>
      </w:pPr>
      <w:r>
        <w:rPr>
          <w:rFonts w:ascii="华文楷体" w:hAnsi="华文楷体" w:eastAsia="华文楷体"/>
          <w:sz w:val="24"/>
        </w:rPr>
        <w:t>4. 上下游产业链动态</w:t>
      </w:r>
    </w:p>
    <w:p>
      <w:r>
        <w:rPr>
          <w:rFonts w:ascii="华文楷体" w:hAnsi="华文楷体" w:eastAsia="华文楷体"/>
          <w:sz w:val="24"/>
        </w:rPr>
        <w:t>上游方面，原料药、辅料、包材、病毒载体、细胞培养基、科研仪器和高端耗材需求随创新药和生物制造扩张而提升，但企业普遍需要投入质量体系和中试能力。中游方面，创新药研发、CDMO、基因治疗生产、医疗器械制造和IVD生产更依赖设备、洁净车间、质量体系和注册能力。下游方面，医院集采、医保控费和DRG/DIP让渠道回款和终端推广效率成为关键。</w:t>
      </w:r>
    </w:p>
    <w:p>
      <w:r>
        <w:rPr>
          <w:rFonts w:ascii="华文楷体" w:hAnsi="华文楷体" w:eastAsia="华文楷体"/>
          <w:sz w:val="24"/>
        </w:rPr>
        <w:t>资金占用较大的环节集中在：创新药临床试验、cGMP车间建设、设备采购、医药商业对医院账期、器械经销商备货。适合切入的产品包括普惠金融科创贷、科技创新和技术更新改造再贷款、平安租赁、订单融资、付融通、商票保贴、银票贴现、慧收款和数字财资。</w:t>
      </w:r>
    </w:p>
    <w:p>
      <w:pPr>
        <w:pStyle w:val="Heading1"/>
      </w:pPr>
      <w:r>
        <w:rPr>
          <w:rFonts w:ascii="华文楷体" w:hAnsi="华文楷体" w:eastAsia="华文楷体"/>
          <w:sz w:val="24"/>
        </w:rPr>
        <w:t>二、浙江地区动态与区域机会</w:t>
      </w:r>
    </w:p>
    <w:p>
      <w:pPr>
        <w:pStyle w:val="Heading2"/>
      </w:pPr>
      <w:r>
        <w:rPr>
          <w:rFonts w:ascii="华文楷体" w:hAnsi="华文楷体" w:eastAsia="华文楷体"/>
          <w:sz w:val="24"/>
        </w:rPr>
        <w:t>1. 浙江政策与政府规划</w:t>
      </w:r>
    </w:p>
    <w:p>
      <w:r>
        <w:rPr>
          <w:rFonts w:ascii="华文楷体" w:hAnsi="华文楷体" w:eastAsia="华文楷体"/>
          <w:sz w:val="24"/>
        </w:rPr>
        <w:t>浙江近期发布的科技和产业场景行动方案提出，到2027年打造生物医药千亿级重点产业，培育5家百亿级龙头企业和5个以上具有全国影响力的生物AI大模型，方向覆盖生物医药、生物制造和“生物+AI”。浙江三大科创高地建设报告显示，2025年浙江生物医药与医疗器械集群营业收入达到3235.8亿元，研发费用占营业收入比重6.0%，生命健康已成为浙江科创高地的重要支撑。</w:t>
      </w:r>
    </w:p>
    <w:p>
      <w:r>
        <w:rPr>
          <w:rFonts w:ascii="华文楷体" w:hAnsi="华文楷体" w:eastAsia="华文楷体"/>
          <w:sz w:val="24"/>
        </w:rPr>
        <w:t>杭州、宁波、绍兴、台州、温州等城市分工清晰：杭州重点做合成生物、基因治疗、细胞治疗、新型疫苗和AI生物模型；温州聚焦精准医疗、重组蛋白和高端生物制剂；绍兴、湖州、台州继续做强医药制造、原料药中间体和IVD；宁波、嘉兴、衢州依托化工新材料基础推进生物化工和生物材料。</w:t>
      </w:r>
    </w:p>
    <w:p>
      <w:r>
        <w:rPr>
          <w:rFonts w:ascii="华文楷体" w:hAnsi="华文楷体" w:eastAsia="华文楷体"/>
          <w:sz w:val="24"/>
        </w:rPr>
        <w:t>对本地企业而言，政策带来的直接影响是中试平台、概念验证、设备更新、产业基金和场景开放机会增加。银行可围绕园区项目、上市公司、专精特新企业和科研成果转化企业，提供项目贷款、科创贷、设备租赁、票据、现金管理和跨境结算方案。</w:t>
      </w:r>
    </w:p>
    <w:p>
      <w:pPr>
        <w:pStyle w:val="Heading2"/>
      </w:pPr>
      <w:r>
        <w:rPr>
          <w:rFonts w:ascii="华文楷体" w:hAnsi="华文楷体" w:eastAsia="华文楷体"/>
          <w:sz w:val="24"/>
        </w:rPr>
        <w:t>2. 浙江重点产业与区域机会</w:t>
      </w:r>
    </w:p>
    <w:p>
      <w:r>
        <w:rPr>
          <w:rFonts w:ascii="华文楷体" w:hAnsi="华文楷体" w:eastAsia="华文楷体"/>
          <w:sz w:val="24"/>
        </w:rPr>
        <w:t>杭州钱塘“中国医药港”本周释放强信号：中国科学院杭州医学研究所二期园区启用，悦康药业计划投资10亿元建设核酸药物研发、中试和生产基地；钱塘区一季度浙江新上市的3款1类创新药全部诞生于此，累计进入临床的创新药达138个，30多款创新药在美国、欧盟等国家和地区开展国际多中心临床试验。</w:t>
      </w:r>
    </w:p>
    <w:p>
      <w:r>
        <w:rPr>
          <w:rFonts w:ascii="华文楷体" w:hAnsi="华文楷体" w:eastAsia="华文楷体"/>
          <w:sz w:val="24"/>
        </w:rPr>
        <w:t>钱塘区企业出海合作活跃，海昶生物产品已销往全球近40个国家和地区；天境生物杭州研发产品与跨国药企达成高额合作；先为达产品与辉瑞达成商业化权益合作。嘉因生物完成数千万美元B+轮融资，资金用于多款基因疗法管线推进和cGMP生产车间建设，是杭州医药港基因治疗产业链的重要线索。</w:t>
      </w:r>
    </w:p>
    <w:p>
      <w:r>
        <w:rPr>
          <w:rFonts w:ascii="华文楷体" w:hAnsi="华文楷体" w:eastAsia="华文楷体"/>
          <w:sz w:val="24"/>
        </w:rPr>
        <w:t>区域扫客优先级建议：杭州钱塘医药港重点扫创新药、基因治疗、核酸药物、BD出海企业；台州重点扫原料药、制剂和合成生物工艺平台；绍兴重点扫生物制造、氨基酸、医药中间体和IVD；温州重点扫基因药谷和精准医疗企业。</w:t>
      </w:r>
    </w:p>
    <w:p>
      <w:pPr>
        <w:pStyle w:val="Heading2"/>
      </w:pPr>
      <w:r>
        <w:rPr>
          <w:rFonts w:ascii="华文楷体" w:hAnsi="华文楷体" w:eastAsia="华文楷体"/>
          <w:sz w:val="24"/>
        </w:rPr>
        <w:t>3. 浙江上下游产业链动态</w:t>
      </w:r>
    </w:p>
    <w:p>
      <w:r>
        <w:rPr>
          <w:rFonts w:ascii="华文楷体" w:hAnsi="华文楷体" w:eastAsia="华文楷体"/>
          <w:sz w:val="24"/>
        </w:rPr>
        <w:t>浙江上游具备原料药、医药中间体、辅料、包材、合成生物和发酵工艺基础；中游聚集创新药、基因治疗、医疗器械、IVD和医药流通平台；下游连接医院、连锁药房、经销商和海外合作方。当前资金占用主要来自三类场景：一是创新药企业临床推进和cGMP车间建设，二是器械/IVD企业集采后渠道库存和回款账期，三是医药商业企业对医院和经销渠道的应收账款。</w:t>
      </w:r>
    </w:p>
    <w:p>
      <w:r>
        <w:rPr>
          <w:rFonts w:ascii="华文楷体" w:hAnsi="华文楷体" w:eastAsia="华文楷体"/>
          <w:sz w:val="24"/>
        </w:rPr>
        <w:t>核心企业带动批量获客的抓手包括华东医药、浙江英特、钱塘医药港创新药企业、台州原料药企业和绍兴生物制造平台。银行可用核心企业上下游名单、园区企业名单和科技项目清单，形成供应链金融和普惠科创批量营销。</w:t>
      </w:r>
    </w:p>
    <w:p>
      <w:pPr>
        <w:pStyle w:val="Heading2"/>
      </w:pPr>
      <w:r>
        <w:rPr>
          <w:rFonts w:ascii="华文楷体" w:hAnsi="华文楷体" w:eastAsia="华文楷体"/>
          <w:sz w:val="24"/>
        </w:rPr>
        <w:t>4. 银行展业机会</w:t>
      </w:r>
    </w:p>
    <w:p>
      <w:r>
        <w:rPr>
          <w:rFonts w:ascii="华文楷体" w:hAnsi="华文楷体" w:eastAsia="华文楷体"/>
          <w:sz w:val="24"/>
        </w:rPr>
        <w:t>1. 钱塘医药港创新药和基因治疗企业：围绕临床试验、cGMP车间、设备采购和海外临床，切入普惠金融科创贷、科技创新和技术更新改造再贷款、平安租赁、跨境支付结算和外币存款。</w:t>
      </w:r>
    </w:p>
    <w:p>
      <w:r>
        <w:rPr>
          <w:rFonts w:ascii="华文楷体" w:hAnsi="华文楷体" w:eastAsia="华文楷体"/>
          <w:sz w:val="24"/>
        </w:rPr>
        <w:t>2. 医药流通与医院终端链条：围绕药品配送、医院账期和经销商备货，切入付融通、保理、商票保贴、银票贴现、慧收款和数字财资。</w:t>
      </w:r>
    </w:p>
    <w:p>
      <w:r>
        <w:rPr>
          <w:rFonts w:ascii="华文楷体" w:hAnsi="华文楷体" w:eastAsia="华文楷体"/>
          <w:sz w:val="24"/>
        </w:rPr>
        <w:t>3. 原料药、IVD和器械企业：围绕集采后价格承压、出口订单和设备更新，切入短贷、国内信用证、订单融资、跨境贸易金融和平安避险。</w:t>
      </w:r>
    </w:p>
    <w:p>
      <w:r>
        <w:rPr>
          <w:rFonts w:ascii="华文楷体" w:hAnsi="华文楷体" w:eastAsia="华文楷体"/>
          <w:sz w:val="24"/>
        </w:rPr>
        <w:t>4. 园区和科研转化平台：围绕中试平台、标准厂房、仪器设备和人才企业入驻，联动项目融资、资产池、口袋管家、平安薪和招标通等场景。</w:t>
      </w:r>
    </w:p>
    <w:p>
      <w:pPr>
        <w:pStyle w:val="Heading1"/>
      </w:pPr>
      <w:r>
        <w:rPr>
          <w:rFonts w:ascii="华文楷体" w:hAnsi="华文楷体" w:eastAsia="华文楷体"/>
          <w:sz w:val="24"/>
        </w:rPr>
        <w:t>三、重点企业推荐</w:t>
      </w:r>
    </w:p>
    <w:p>
      <w:pPr>
        <w:pStyle w:val="Heading2"/>
      </w:pPr>
      <w:r>
        <w:rPr>
          <w:rFonts w:ascii="华文楷体" w:hAnsi="华文楷体" w:eastAsia="华文楷体"/>
          <w:sz w:val="24"/>
        </w:rPr>
        <w:t>企业名称：杭州嘉因生物科技有限公司</w:t>
      </w:r>
    </w:p>
    <w:p>
      <w:r>
        <w:rPr>
          <w:rFonts w:ascii="华文楷体" w:hAnsi="华文楷体" w:eastAsia="华文楷体"/>
          <w:sz w:val="24"/>
        </w:rPr>
        <w:t>推荐等级： 高</w:t>
      </w:r>
    </w:p>
    <w:p>
      <w:r>
        <w:rPr>
          <w:rFonts w:ascii="华文楷体" w:hAnsi="华文楷体" w:eastAsia="华文楷体"/>
          <w:sz w:val="24"/>
        </w:rPr>
        <w:t>所属行业： 基因治疗/创新药</w:t>
      </w:r>
    </w:p>
    <w:p>
      <w:r>
        <w:rPr>
          <w:rFonts w:ascii="华文楷体" w:hAnsi="华文楷体" w:eastAsia="华文楷体"/>
          <w:sz w:val="24"/>
        </w:rPr>
        <w:t>所在地区： 杭州钱塘</w:t>
      </w:r>
    </w:p>
    <w:p>
      <w:r>
        <w:rPr>
          <w:rFonts w:ascii="华文楷体" w:hAnsi="华文楷体" w:eastAsia="华文楷体"/>
          <w:sz w:val="24"/>
        </w:rPr>
        <w:t>产业链位置： 中游/平台型</w:t>
      </w:r>
    </w:p>
    <w:p>
      <w:r>
        <w:rPr>
          <w:rFonts w:ascii="华文楷体" w:hAnsi="华文楷体" w:eastAsia="华文楷体"/>
          <w:sz w:val="24"/>
        </w:rPr>
        <w:t>推荐方向： 流动资金、设备融资、供应链金融、跨境结算、现金管理</w:t>
      </w:r>
    </w:p>
    <w:p>
      <w:r>
        <w:rPr>
          <w:rFonts w:ascii="华文楷体" w:hAnsi="华文楷体" w:eastAsia="华文楷体"/>
          <w:sz w:val="24"/>
        </w:rPr>
        <w:t>企业关键信息:</w:t>
      </w:r>
    </w:p>
    <w:p>
      <w:r>
        <w:rPr>
          <w:rFonts w:ascii="华文楷体" w:hAnsi="华文楷体" w:eastAsia="华文楷体"/>
          <w:sz w:val="24"/>
        </w:rPr>
        <w:t>基本情况: 成立于2019年，位于杭州医药港加速器三期，面向全球市场开发基因疗法，重点针对孤儿药和重大疾病，已建成符合中美欧cGMP标准的基因治疗生产车间。</w:t>
      </w:r>
    </w:p>
    <w:p>
      <w:r>
        <w:rPr>
          <w:rFonts w:ascii="华文楷体" w:hAnsi="华文楷体" w:eastAsia="华文楷体"/>
          <w:sz w:val="24"/>
        </w:rPr>
        <w:t>高层与团队背景: 创始人、董事长兼CEO吴振华为博士背景；公开信息显示团队在病毒载体设计筛选、大规模低成本生产和高纯度载体制备方面具备技术积累；具体学校、导师和CFO信息未披露。</w:t>
      </w:r>
    </w:p>
    <w:p>
      <w:r>
        <w:rPr>
          <w:rFonts w:ascii="华文楷体" w:hAnsi="华文楷体" w:eastAsia="华文楷体"/>
          <w:sz w:val="24"/>
        </w:rPr>
        <w:t>银行关注点: 团队技术壁垒较强，近期融资资金投向临床推进和cGMP车间，体现研发和产业化同步推进，后续授信需核实融资到账、管线进度和现金消耗。</w:t>
      </w:r>
    </w:p>
    <w:p>
      <w:r>
        <w:rPr>
          <w:rFonts w:ascii="华文楷体" w:hAnsi="华文楷体" w:eastAsia="华文楷体"/>
          <w:sz w:val="24"/>
        </w:rPr>
        <w:t>推荐理由:</w:t>
      </w:r>
    </w:p>
    <w:p>
      <w:r>
        <w:rPr>
          <w:rFonts w:ascii="华文楷体" w:hAnsi="华文楷体" w:eastAsia="华文楷体"/>
          <w:sz w:val="24"/>
        </w:rPr>
        <w:t>近期完成数千万美元B+轮融资，老股东持续加注，说明资本认可度较高。</w:t>
      </w:r>
    </w:p>
    <w:p>
      <w:r>
        <w:rPr>
          <w:rFonts w:ascii="华文楷体" w:hAnsi="华文楷体" w:eastAsia="华文楷体"/>
          <w:sz w:val="24"/>
        </w:rPr>
        <w:t>基因治疗符合浙江生命健康和杭州钱塘医药港重点方向，且与全球创新药出海趋势一致。</w:t>
      </w:r>
    </w:p>
    <w:p>
      <w:r>
        <w:rPr>
          <w:rFonts w:ascii="华文楷体" w:hAnsi="华文楷体" w:eastAsia="华文楷体"/>
          <w:sz w:val="24"/>
        </w:rPr>
        <w:t>cGMP车间建设和多管线临床推进会形成设备采购、研发外包、临床费用和营运资金需求。</w:t>
      </w:r>
    </w:p>
    <w:p>
      <w:r>
        <w:rPr>
          <w:rFonts w:ascii="华文楷体" w:hAnsi="华文楷体" w:eastAsia="华文楷体"/>
          <w:sz w:val="24"/>
        </w:rPr>
        <w:t>银行展业机会: 企业经营场景是“融资后推进临床和车间建设”，金融需求包括中长期设备资金、临床阶段流动资金、跨境临床/服务付款和资金管理。平安银行可先以普惠金融科创贷、科技创新和技术更新改造再贷款适配研发和设备投入；配套平安租赁、跨境支付结算、外币存款和数字财资，帮助企业管理研发资金和海外付款。</w:t>
      </w:r>
    </w:p>
    <w:p>
      <w:r>
        <w:rPr>
          <w:rFonts w:ascii="华文楷体" w:hAnsi="华文楷体" w:eastAsia="华文楷体"/>
          <w:sz w:val="24"/>
        </w:rPr>
        <w:t>推荐产品组合: 建议以普惠金融科创贷和科技创新和技术更新改造再贷款作为主推产品，解决企业临床推进和设备投入的资金需求；配套平安租赁、跨境支付结算和数字财资，用于cGMP设备采购、海外合作付款和多账户资金管理。额度、期限、费率和准入条件待沟通。</w:t>
      </w:r>
    </w:p>
    <w:p>
      <w:r>
        <w:rPr>
          <w:rFonts w:ascii="华文楷体" w:hAnsi="华文楷体" w:eastAsia="华文楷体"/>
          <w:sz w:val="24"/>
        </w:rPr>
        <w:t>客户经理切入话术: “我们关注到公司新一轮融资主要投向临床和cGMP车间建设，平安可以围绕设备采购、研发周转和跨境付款先做一版资金安排测算，看看哪些节点能降低资金占用。”</w:t>
      </w:r>
    </w:p>
    <w:p>
      <w:r>
        <w:rPr>
          <w:rFonts w:ascii="华文楷体" w:hAnsi="华文楷体" w:eastAsia="华文楷体"/>
          <w:sz w:val="24"/>
        </w:rPr>
        <w:t>风险提示: 基因治疗临床周期长、研发失败和审批不确定性较高；融资到账、管线进度、现金消耗、核心团队稳定性和知识产权情况需尽调确认。</w:t>
      </w:r>
    </w:p>
    <w:p>
      <w:pPr>
        <w:pStyle w:val="Heading2"/>
      </w:pPr>
      <w:r>
        <w:rPr>
          <w:rFonts w:ascii="华文楷体" w:hAnsi="华文楷体" w:eastAsia="华文楷体"/>
          <w:sz w:val="24"/>
        </w:rPr>
        <w:t>企业名称：杭州海昶生物医药技术有限公司</w:t>
      </w:r>
    </w:p>
    <w:p>
      <w:r>
        <w:rPr>
          <w:rFonts w:ascii="华文楷体" w:hAnsi="华文楷体" w:eastAsia="华文楷体"/>
          <w:sz w:val="24"/>
        </w:rPr>
        <w:t>推荐等级： 高</w:t>
      </w:r>
    </w:p>
    <w:p>
      <w:r>
        <w:rPr>
          <w:rFonts w:ascii="华文楷体" w:hAnsi="华文楷体" w:eastAsia="华文楷体"/>
          <w:sz w:val="24"/>
        </w:rPr>
        <w:t>所属行业： 创新药/制剂出海</w:t>
      </w:r>
    </w:p>
    <w:p>
      <w:r>
        <w:rPr>
          <w:rFonts w:ascii="华文楷体" w:hAnsi="华文楷体" w:eastAsia="华文楷体"/>
          <w:sz w:val="24"/>
        </w:rPr>
        <w:t>所在地区： 杭州钱塘</w:t>
      </w:r>
    </w:p>
    <w:p>
      <w:r>
        <w:rPr>
          <w:rFonts w:ascii="华文楷体" w:hAnsi="华文楷体" w:eastAsia="华文楷体"/>
          <w:sz w:val="24"/>
        </w:rPr>
        <w:t>产业链位置： 中游</w:t>
      </w:r>
    </w:p>
    <w:p>
      <w:r>
        <w:rPr>
          <w:rFonts w:ascii="华文楷体" w:hAnsi="华文楷体" w:eastAsia="华文楷体"/>
          <w:sz w:val="24"/>
        </w:rPr>
        <w:t>推荐方向： 跨境结算、订单融资、现金管理、票据</w:t>
      </w:r>
    </w:p>
    <w:p>
      <w:r>
        <w:rPr>
          <w:rFonts w:ascii="华文楷体" w:hAnsi="华文楷体" w:eastAsia="华文楷体"/>
          <w:sz w:val="24"/>
        </w:rPr>
        <w:t>企业关键信息:</w:t>
      </w:r>
    </w:p>
    <w:p>
      <w:r>
        <w:rPr>
          <w:rFonts w:ascii="华文楷体" w:hAnsi="华文楷体" w:eastAsia="华文楷体"/>
          <w:sz w:val="24"/>
        </w:rPr>
        <w:t>基本情况: 钱塘区创新药企业，注射用紫杉醇产品近年来销往全球近40个国家和地区，具备国际注册和商业化经验。</w:t>
      </w:r>
    </w:p>
    <w:p>
      <w:r>
        <w:rPr>
          <w:rFonts w:ascii="华文楷体" w:hAnsi="华文楷体" w:eastAsia="华文楷体"/>
          <w:sz w:val="24"/>
        </w:rPr>
        <w:t>高层与团队背景: 公开资料显示公司专注新型制剂和国际化市场；董事长、总经理、CFO、核心科学家教育背景和导师信息本周公开资料未充分披露，待核实。</w:t>
      </w:r>
    </w:p>
    <w:p>
      <w:r>
        <w:rPr>
          <w:rFonts w:ascii="华文楷体" w:hAnsi="华文楷体" w:eastAsia="华文楷体"/>
          <w:sz w:val="24"/>
        </w:rPr>
        <w:t>银行关注点: 出海销售场景明确，跨境收付款、外币资金管理、汇率避险和订单回款是银行切入重点。</w:t>
      </w:r>
    </w:p>
    <w:p>
      <w:r>
        <w:rPr>
          <w:rFonts w:ascii="华文楷体" w:hAnsi="华文楷体" w:eastAsia="华文楷体"/>
          <w:sz w:val="24"/>
        </w:rPr>
        <w:t>推荐理由:</w:t>
      </w:r>
    </w:p>
    <w:p>
      <w:r>
        <w:rPr>
          <w:rFonts w:ascii="华文楷体" w:hAnsi="华文楷体" w:eastAsia="华文楷体"/>
          <w:sz w:val="24"/>
        </w:rPr>
        <w:t>产品已进入多国市场，说明企业具备海外注册、渠道和商业化执行能力。</w:t>
      </w:r>
    </w:p>
    <w:p>
      <w:r>
        <w:rPr>
          <w:rFonts w:ascii="华文楷体" w:hAnsi="华文楷体" w:eastAsia="华文楷体"/>
          <w:sz w:val="24"/>
        </w:rPr>
        <w:t>钱塘区持续搭建海外临床、BD交易和法律合规服务平台，有利于企业继续拓展海外市场。</w:t>
      </w:r>
    </w:p>
    <w:p>
      <w:r>
        <w:rPr>
          <w:rFonts w:ascii="华文楷体" w:hAnsi="华文楷体" w:eastAsia="华文楷体"/>
          <w:sz w:val="24"/>
        </w:rPr>
        <w:t>海外销售回款、备货和汇率波动会带来跨境金融和流动资金需求。</w:t>
      </w:r>
    </w:p>
    <w:p>
      <w:r>
        <w:rPr>
          <w:rFonts w:ascii="华文楷体" w:hAnsi="华文楷体" w:eastAsia="华文楷体"/>
          <w:sz w:val="24"/>
        </w:rPr>
        <w:t>银行展业机会: 企业经营场景是“产品出口和海外销售增长”，金融需求包括跨境收付款、外币账户、汇率管理、订单融资和应收账款周转。可用跨境支付结算、跨境贸易金融、外币存款、平安避险和订单融资切入，同时配套慧收款和数字财资提升回款管理效率。</w:t>
      </w:r>
    </w:p>
    <w:p>
      <w:r>
        <w:rPr>
          <w:rFonts w:ascii="华文楷体" w:hAnsi="华文楷体" w:eastAsia="华文楷体"/>
          <w:sz w:val="24"/>
        </w:rPr>
        <w:t>推荐产品组合: 建议以跨境支付结算和跨境贸易金融为主推产品，服务企业海外销售与采购付款；配套外币存款、平安避险和订单融资，用于汇率风险管理和订单备货周转。额度、期限、费率和准入条件待沟通。</w:t>
      </w:r>
    </w:p>
    <w:p>
      <w:r>
        <w:rPr>
          <w:rFonts w:ascii="华文楷体" w:hAnsi="华文楷体" w:eastAsia="华文楷体"/>
          <w:sz w:val="24"/>
        </w:rPr>
        <w:t>客户经理切入话术: “公司海外销售国家多，外币收款、汇率和订单备货会越来越复杂，我们可以先帮您梳理主要币种和回款周期，再匹配结算、避险和订单融资方案。”</w:t>
      </w:r>
    </w:p>
    <w:p>
      <w:r>
        <w:rPr>
          <w:rFonts w:ascii="华文楷体" w:hAnsi="华文楷体" w:eastAsia="华文楷体"/>
          <w:sz w:val="24"/>
        </w:rPr>
        <w:t>风险提示: 海外注册政策、客户集中度、汇率波动、国际物流和账期变化需重点核实。</w:t>
      </w:r>
    </w:p>
    <w:p>
      <w:pPr>
        <w:pStyle w:val="Heading2"/>
      </w:pPr>
      <w:r>
        <w:rPr>
          <w:rFonts w:ascii="华文楷体" w:hAnsi="华文楷体" w:eastAsia="华文楷体"/>
          <w:sz w:val="24"/>
        </w:rPr>
        <w:t>企业名称：华东医药股份有限公司</w:t>
      </w:r>
    </w:p>
    <w:p>
      <w:r>
        <w:rPr>
          <w:rFonts w:ascii="华文楷体" w:hAnsi="华文楷体" w:eastAsia="华文楷体"/>
          <w:sz w:val="24"/>
        </w:rPr>
        <w:t>推荐等级： 高</w:t>
      </w:r>
    </w:p>
    <w:p>
      <w:r>
        <w:rPr>
          <w:rFonts w:ascii="华文楷体" w:hAnsi="华文楷体" w:eastAsia="华文楷体"/>
          <w:sz w:val="24"/>
        </w:rPr>
        <w:t>所属行业： 医药商业/创新药/医美/器械代理</w:t>
      </w:r>
    </w:p>
    <w:p>
      <w:r>
        <w:rPr>
          <w:rFonts w:ascii="华文楷体" w:hAnsi="华文楷体" w:eastAsia="华文楷体"/>
          <w:sz w:val="24"/>
        </w:rPr>
        <w:t>所在地区： 杭州</w:t>
      </w:r>
    </w:p>
    <w:p>
      <w:r>
        <w:rPr>
          <w:rFonts w:ascii="华文楷体" w:hAnsi="华文楷体" w:eastAsia="华文楷体"/>
          <w:sz w:val="24"/>
        </w:rPr>
        <w:t>产业链位置： 平台型/下游</w:t>
      </w:r>
    </w:p>
    <w:p>
      <w:r>
        <w:rPr>
          <w:rFonts w:ascii="华文楷体" w:hAnsi="华文楷体" w:eastAsia="华文楷体"/>
          <w:sz w:val="24"/>
        </w:rPr>
        <w:t>推荐方向： 供应链金融、现金管理、跨境结算、票据、综合金融</w:t>
      </w:r>
    </w:p>
    <w:p>
      <w:r>
        <w:rPr>
          <w:rFonts w:ascii="华文楷体" w:hAnsi="华文楷体" w:eastAsia="华文楷体"/>
          <w:sz w:val="24"/>
        </w:rPr>
        <w:t>企业关键信息:</w:t>
      </w:r>
    </w:p>
    <w:p>
      <w:r>
        <w:rPr>
          <w:rFonts w:ascii="华文楷体" w:hAnsi="华文楷体" w:eastAsia="华文楷体"/>
          <w:sz w:val="24"/>
        </w:rPr>
        <w:t>基本情况: 杭州上市公司，业务覆盖医药工业、医药商业、医美和医疗器械等板块，拥有较完整的医药产业链布局。</w:t>
      </w:r>
    </w:p>
    <w:p>
      <w:r>
        <w:rPr>
          <w:rFonts w:ascii="华文楷体" w:hAnsi="华文楷体" w:eastAsia="华文楷体"/>
          <w:sz w:val="24"/>
        </w:rPr>
        <w:t>高层与团队背景: 公司管理层公开信息较多但本周资料未逐项核验；董事长、总经理、CFO教育背景和职业履历建议客户经理拜访前从年报和公司官网复核。</w:t>
      </w:r>
    </w:p>
    <w:p>
      <w:r>
        <w:rPr>
          <w:rFonts w:ascii="华文楷体" w:hAnsi="华文楷体" w:eastAsia="华文楷体"/>
          <w:sz w:val="24"/>
        </w:rPr>
        <w:t>银行关注点: 作为区域医药平台型企业，可带动供应商、经销商、医院终端和器械代理渠道，适合做“核心企业+上下游”的批量经营。</w:t>
      </w:r>
    </w:p>
    <w:p>
      <w:r>
        <w:rPr>
          <w:rFonts w:ascii="华文楷体" w:hAnsi="华文楷体" w:eastAsia="华文楷体"/>
          <w:sz w:val="24"/>
        </w:rPr>
        <w:t>推荐理由:</w:t>
      </w:r>
    </w:p>
    <w:p>
      <w:r>
        <w:rPr>
          <w:rFonts w:ascii="华文楷体" w:hAnsi="华文楷体" w:eastAsia="华文楷体"/>
          <w:sz w:val="24"/>
        </w:rPr>
        <w:t>公司处于浙江医药产业核心位置，兼具工业和商业属性，供应链带动能力强。</w:t>
      </w:r>
    </w:p>
    <w:p>
      <w:r>
        <w:rPr>
          <w:rFonts w:ascii="华文楷体" w:hAnsi="华文楷体" w:eastAsia="华文楷体"/>
          <w:sz w:val="24"/>
        </w:rPr>
        <w:t>医疗器械、医药商业和创新药布局会产生采购、配送、回款和渠道管理需求。</w:t>
      </w:r>
    </w:p>
    <w:p>
      <w:r>
        <w:rPr>
          <w:rFonts w:ascii="华文楷体" w:hAnsi="华文楷体" w:eastAsia="华文楷体"/>
          <w:sz w:val="24"/>
        </w:rPr>
        <w:t>上市公司信用基础较好，可作为供应链金融核心企业进行上下游获客。</w:t>
      </w:r>
    </w:p>
    <w:p>
      <w:r>
        <w:rPr>
          <w:rFonts w:ascii="华文楷体" w:hAnsi="华文楷体" w:eastAsia="华文楷体"/>
          <w:sz w:val="24"/>
        </w:rPr>
        <w:t>银行展业机会: 企业经营场景是“大型医药集团多板块经营和上下游交易频繁”，金融需求包括资金归集、票据流转、供应商融资、经销商融资和跨境结算。可用数字财资、资产池、付融通、商票保贴、银票无感贴现、国内信用证和跨境资金管理切入。</w:t>
      </w:r>
    </w:p>
    <w:p>
      <w:r>
        <w:rPr>
          <w:rFonts w:ascii="华文楷体" w:hAnsi="华文楷体" w:eastAsia="华文楷体"/>
          <w:sz w:val="24"/>
        </w:rPr>
        <w:t>推荐产品组合: 建议以数字财资和资产池作为主推产品，提升集团多账户资金管理效率；配套付融通、商票保贴、银票无感贴现和国内信用证，用于上下游供应链融资和票据支付优化。额度、期限、费率和准入条件待沟通。</w:t>
      </w:r>
    </w:p>
    <w:p>
      <w:r>
        <w:rPr>
          <w:rFonts w:ascii="华文楷体" w:hAnsi="华文楷体" w:eastAsia="华文楷体"/>
          <w:sz w:val="24"/>
        </w:rPr>
        <w:t>客户经理切入话术: “华东医药的上下游交易链条很完整，我们希望先从集团资金可视化和供应商回款效率入手，设计一个核心企业带动上下游的综合金融方案。”</w:t>
      </w:r>
    </w:p>
    <w:p>
      <w:r>
        <w:rPr>
          <w:rFonts w:ascii="华文楷体" w:hAnsi="华文楷体" w:eastAsia="华文楷体"/>
          <w:sz w:val="24"/>
        </w:rPr>
        <w:t>风险提示: 需关注医药商业应收账款、集采价格影响、医美和创新药业务波动、渠道库存和合规风险。</w:t>
      </w:r>
    </w:p>
    <w:p>
      <w:pPr>
        <w:pStyle w:val="Heading2"/>
      </w:pPr>
      <w:r>
        <w:rPr>
          <w:rFonts w:ascii="华文楷体" w:hAnsi="华文楷体" w:eastAsia="华文楷体"/>
          <w:sz w:val="24"/>
        </w:rPr>
        <w:t>企业名称：浙江英特集团股份有限公司</w:t>
      </w:r>
    </w:p>
    <w:p>
      <w:r>
        <w:rPr>
          <w:rFonts w:ascii="华文楷体" w:hAnsi="华文楷体" w:eastAsia="华文楷体"/>
          <w:sz w:val="24"/>
        </w:rPr>
        <w:t>推荐等级： 中高</w:t>
      </w:r>
    </w:p>
    <w:p>
      <w:r>
        <w:rPr>
          <w:rFonts w:ascii="华文楷体" w:hAnsi="华文楷体" w:eastAsia="华文楷体"/>
          <w:sz w:val="24"/>
        </w:rPr>
        <w:t>所属行业： 医药流通/医疗器械流通</w:t>
      </w:r>
    </w:p>
    <w:p>
      <w:r>
        <w:rPr>
          <w:rFonts w:ascii="华文楷体" w:hAnsi="华文楷体" w:eastAsia="华文楷体"/>
          <w:sz w:val="24"/>
        </w:rPr>
        <w:t>所在地区： 杭州</w:t>
      </w:r>
    </w:p>
    <w:p>
      <w:r>
        <w:rPr>
          <w:rFonts w:ascii="华文楷体" w:hAnsi="华文楷体" w:eastAsia="华文楷体"/>
          <w:sz w:val="24"/>
        </w:rPr>
        <w:t>产业链位置： 下游/平台型</w:t>
      </w:r>
    </w:p>
    <w:p>
      <w:r>
        <w:rPr>
          <w:rFonts w:ascii="华文楷体" w:hAnsi="华文楷体" w:eastAsia="华文楷体"/>
          <w:sz w:val="24"/>
        </w:rPr>
        <w:t>推荐方向： 保理、票据、现金管理、供应链金融、代发</w:t>
      </w:r>
    </w:p>
    <w:p>
      <w:r>
        <w:rPr>
          <w:rFonts w:ascii="华文楷体" w:hAnsi="华文楷体" w:eastAsia="华文楷体"/>
          <w:sz w:val="24"/>
        </w:rPr>
        <w:t>企业关键信息:</w:t>
      </w:r>
    </w:p>
    <w:p>
      <w:r>
        <w:rPr>
          <w:rFonts w:ascii="华文楷体" w:hAnsi="华文楷体" w:eastAsia="华文楷体"/>
          <w:sz w:val="24"/>
        </w:rPr>
        <w:t>基本情况: 浙江省国际贸易集团旗下医药健康上市公司，主营药品、中药、生物制品、医疗器械经营和医药流通服务。</w:t>
      </w:r>
    </w:p>
    <w:p>
      <w:r>
        <w:rPr>
          <w:rFonts w:ascii="华文楷体" w:hAnsi="华文楷体" w:eastAsia="华文楷体"/>
          <w:sz w:val="24"/>
        </w:rPr>
        <w:t>高层与团队背景: 公开资料显示公司具有国资背景和医药流通管理体系；本周未核验董事长、总经理、CFO具体教育和职业履历，待年报复核。</w:t>
      </w:r>
    </w:p>
    <w:p>
      <w:r>
        <w:rPr>
          <w:rFonts w:ascii="华文楷体" w:hAnsi="华文楷体" w:eastAsia="华文楷体"/>
          <w:sz w:val="24"/>
        </w:rPr>
        <w:t>银行关注点: 医药流通企业医院账期和经销渠道明显，适合围绕应收账款、票据、收款对账和供应商付款做场景金融。</w:t>
      </w:r>
    </w:p>
    <w:p>
      <w:r>
        <w:rPr>
          <w:rFonts w:ascii="华文楷体" w:hAnsi="华文楷体" w:eastAsia="华文楷体"/>
          <w:sz w:val="24"/>
        </w:rPr>
        <w:t>推荐理由:</w:t>
      </w:r>
    </w:p>
    <w:p>
      <w:r>
        <w:rPr>
          <w:rFonts w:ascii="华文楷体" w:hAnsi="华文楷体" w:eastAsia="华文楷体"/>
          <w:sz w:val="24"/>
        </w:rPr>
        <w:t>医药流通处在医院、药企、经销商之间，应收账款和库存周转是核心痛点。</w:t>
      </w:r>
    </w:p>
    <w:p>
      <w:r>
        <w:rPr>
          <w:rFonts w:ascii="华文楷体" w:hAnsi="华文楷体" w:eastAsia="华文楷体"/>
          <w:sz w:val="24"/>
        </w:rPr>
        <w:t>浙江医药商业集中度提升，有利于区域龙头整合渠道资源。</w:t>
      </w:r>
    </w:p>
    <w:p>
      <w:r>
        <w:rPr>
          <w:rFonts w:ascii="华文楷体" w:hAnsi="华文楷体" w:eastAsia="华文楷体"/>
          <w:sz w:val="24"/>
        </w:rPr>
        <w:t>企业可作为核心平台带动中小供应商和经销商批量获客。</w:t>
      </w:r>
    </w:p>
    <w:p>
      <w:r>
        <w:rPr>
          <w:rFonts w:ascii="华文楷体" w:hAnsi="华文楷体" w:eastAsia="华文楷体"/>
          <w:sz w:val="24"/>
        </w:rPr>
        <w:t>银行展业机会: 企业经营场景是“配送规模大、医院账期长、供应商回款要求高”，金融需求包括保理、票据贴现、供应商融资、资金归集和收款对账。可用付融通、保理、商票e贴、银票极速贴现、慧收款和数字财资切入。</w:t>
      </w:r>
    </w:p>
    <w:p>
      <w:r>
        <w:rPr>
          <w:rFonts w:ascii="华文楷体" w:hAnsi="华文楷体" w:eastAsia="华文楷体"/>
          <w:sz w:val="24"/>
        </w:rPr>
        <w:t>推荐产品组合: 建议以付融通和保理作为主推产品，解决供应商回款和医院账期带来的资金占用；配套商票e贴、银票极速贴现、慧收款和数字财资，用于票据流转、销售回款对账和资金集中管理。额度、期限、费率和准入条件待沟通。</w:t>
      </w:r>
    </w:p>
    <w:p>
      <w:r>
        <w:rPr>
          <w:rFonts w:ascii="华文楷体" w:hAnsi="华文楷体" w:eastAsia="华文楷体"/>
          <w:sz w:val="24"/>
        </w:rPr>
        <w:t>客户经理切入话术: “医药配送最大的痛点通常是医院账期和供应商付款节奏，我们可以基于核心交易链条设计保理和票据方案，帮助集团稳供应、控账期。”</w:t>
      </w:r>
    </w:p>
    <w:p>
      <w:r>
        <w:rPr>
          <w:rFonts w:ascii="华文楷体" w:hAnsi="华文楷体" w:eastAsia="华文楷体"/>
          <w:sz w:val="24"/>
        </w:rPr>
        <w:t>风险提示: 应收账款回款周期、医院客户集中度、政策控费、渠道库存和毛利率变化需重点关注。</w:t>
      </w:r>
    </w:p>
    <w:p>
      <w:pPr>
        <w:pStyle w:val="Heading2"/>
      </w:pPr>
      <w:r>
        <w:rPr>
          <w:rFonts w:ascii="华文楷体" w:hAnsi="华文楷体" w:eastAsia="华文楷体"/>
          <w:sz w:val="24"/>
        </w:rPr>
        <w:t>企业名称：浙江拱东医疗器械股份有限公司</w:t>
      </w:r>
    </w:p>
    <w:p>
      <w:r>
        <w:rPr>
          <w:rFonts w:ascii="华文楷体" w:hAnsi="华文楷体" w:eastAsia="华文楷体"/>
          <w:sz w:val="24"/>
        </w:rPr>
        <w:t>推荐等级： 中高</w:t>
      </w:r>
    </w:p>
    <w:p>
      <w:r>
        <w:rPr>
          <w:rFonts w:ascii="华文楷体" w:hAnsi="华文楷体" w:eastAsia="华文楷体"/>
          <w:sz w:val="24"/>
        </w:rPr>
        <w:t>所属行业： 医疗器械/耗材</w:t>
      </w:r>
    </w:p>
    <w:p>
      <w:r>
        <w:rPr>
          <w:rFonts w:ascii="华文楷体" w:hAnsi="华文楷体" w:eastAsia="华文楷体"/>
          <w:sz w:val="24"/>
        </w:rPr>
        <w:t>所在地区： 台州</w:t>
      </w:r>
    </w:p>
    <w:p>
      <w:r>
        <w:rPr>
          <w:rFonts w:ascii="华文楷体" w:hAnsi="华文楷体" w:eastAsia="华文楷体"/>
          <w:sz w:val="24"/>
        </w:rPr>
        <w:t>产业链位置： 中游</w:t>
      </w:r>
    </w:p>
    <w:p>
      <w:r>
        <w:rPr>
          <w:rFonts w:ascii="华文楷体" w:hAnsi="华文楷体" w:eastAsia="华文楷体"/>
          <w:sz w:val="24"/>
        </w:rPr>
        <w:t>推荐方向： 票据、订单融资、跨境结算、设备融资、现金管理</w:t>
      </w:r>
    </w:p>
    <w:p>
      <w:r>
        <w:rPr>
          <w:rFonts w:ascii="华文楷体" w:hAnsi="华文楷体" w:eastAsia="华文楷体"/>
          <w:sz w:val="24"/>
        </w:rPr>
        <w:t>企业关键信息:</w:t>
      </w:r>
    </w:p>
    <w:p>
      <w:r>
        <w:rPr>
          <w:rFonts w:ascii="华文楷体" w:hAnsi="华文楷体" w:eastAsia="华文楷体"/>
          <w:sz w:val="24"/>
        </w:rPr>
        <w:t>基本情况: 台州医疗器械上市公司，主营医用耗材和实验室耗材等产品，处于医疗器械制造环节。</w:t>
      </w:r>
    </w:p>
    <w:p>
      <w:r>
        <w:rPr>
          <w:rFonts w:ascii="华文楷体" w:hAnsi="华文楷体" w:eastAsia="华文楷体"/>
          <w:sz w:val="24"/>
        </w:rPr>
        <w:t>高层与团队背景: 公司实控人和管理层信息可在年报查询；本周资料未核验具体学校、导师和职业履历，拜访前需补充年报与工商资料。</w:t>
      </w:r>
    </w:p>
    <w:p>
      <w:r>
        <w:rPr>
          <w:rFonts w:ascii="华文楷体" w:hAnsi="华文楷体" w:eastAsia="华文楷体"/>
          <w:sz w:val="24"/>
        </w:rPr>
        <w:t>银行关注点: 受医疗器械集采、海外需求和产能管理影响，企业可能有订单周转、票据结算、设备更新和跨境结算需求。</w:t>
      </w:r>
    </w:p>
    <w:p>
      <w:r>
        <w:rPr>
          <w:rFonts w:ascii="华文楷体" w:hAnsi="华文楷体" w:eastAsia="华文楷体"/>
          <w:sz w:val="24"/>
        </w:rPr>
        <w:t>推荐理由:</w:t>
      </w:r>
    </w:p>
    <w:p>
      <w:r>
        <w:rPr>
          <w:rFonts w:ascii="华文楷体" w:hAnsi="华文楷体" w:eastAsia="华文楷体"/>
          <w:sz w:val="24"/>
        </w:rPr>
        <w:t>医疗器械行业在价格压力后进入设备更新、国产替代和出海并行阶段，台州器械企业具备制造基础。</w:t>
      </w:r>
    </w:p>
    <w:p>
      <w:r>
        <w:rPr>
          <w:rFonts w:ascii="华文楷体" w:hAnsi="华文楷体" w:eastAsia="华文楷体"/>
          <w:sz w:val="24"/>
        </w:rPr>
        <w:t>企业上市公司治理和信息披露相对规范，适合作为区域器械链条核心客户跟进。</w:t>
      </w:r>
    </w:p>
    <w:p>
      <w:r>
        <w:rPr>
          <w:rFonts w:ascii="华文楷体" w:hAnsi="华文楷体" w:eastAsia="华文楷体"/>
          <w:sz w:val="24"/>
        </w:rPr>
        <w:t>耗材和器械制造对原材料采购、库存、订单和回款管理要求较高。</w:t>
      </w:r>
    </w:p>
    <w:p>
      <w:r>
        <w:rPr>
          <w:rFonts w:ascii="华文楷体" w:hAnsi="华文楷体" w:eastAsia="华文楷体"/>
          <w:sz w:val="24"/>
        </w:rPr>
        <w:t>银行展业机会: 企业经营场景是“器械耗材生产和国内外订单交付”，金融需求包括采购付款、票据贴现、订单备货、设备更新、出口收款和汇率管理。可用银票极速贴现、商票贴现、订单融资、跨境支付结算、平安避险和平安租赁切入。</w:t>
      </w:r>
    </w:p>
    <w:p>
      <w:r>
        <w:rPr>
          <w:rFonts w:ascii="华文楷体" w:hAnsi="华文楷体" w:eastAsia="华文楷体"/>
          <w:sz w:val="24"/>
        </w:rPr>
        <w:t>推荐产品组合: 建议以订单融资和银票极速贴现作为主推产品，解决订单备货和票据周转；配套跨境支付结算、平安避险和平安租赁，用于出口结算、汇率管理和设备更新。额度、期限、费率和准入条件待沟通。</w:t>
      </w:r>
    </w:p>
    <w:p>
      <w:r>
        <w:rPr>
          <w:rFonts w:ascii="华文楷体" w:hAnsi="华文楷体" w:eastAsia="华文楷体"/>
          <w:sz w:val="24"/>
        </w:rPr>
        <w:t>客户经理切入话术: “器械行业今年仍有价格和库存压力，我们可以从订单备货、票据贴现和出口收款三个场景入手，帮企业把现金周转安排得更稳。”</w:t>
      </w:r>
    </w:p>
    <w:p>
      <w:r>
        <w:rPr>
          <w:rFonts w:ascii="华文楷体" w:hAnsi="华文楷体" w:eastAsia="华文楷体"/>
          <w:sz w:val="24"/>
        </w:rPr>
        <w:t>风险提示: 集采降价、海外订单波动、客户集中度、原材料价格和应收账款周期需尽调确认。</w:t>
      </w:r>
    </w:p>
    <w:p>
      <w:pPr>
        <w:pStyle w:val="Heading1"/>
      </w:pPr>
      <w:r>
        <w:rPr>
          <w:rFonts w:ascii="华文楷体" w:hAnsi="华文楷体" w:eastAsia="华文楷体"/>
          <w:sz w:val="24"/>
        </w:rPr>
        <w:t>四、客户经理行动建议</w:t>
      </w:r>
    </w:p>
    <w:p>
      <w:r>
        <w:rPr>
          <w:rFonts w:ascii="华文楷体" w:hAnsi="华文楷体" w:eastAsia="华文楷体"/>
          <w:sz w:val="24"/>
        </w:rPr>
        <w:t>1. 今天优先联系杭州嘉因生物科技有限公司，围绕B+轮融资后的临床推进、cGMP车间建设和设备采购，准备科创贷、设备租赁和跨境付款方案。</w:t>
      </w:r>
    </w:p>
    <w:p>
      <w:r>
        <w:rPr>
          <w:rFonts w:ascii="华文楷体" w:hAnsi="华文楷体" w:eastAsia="华文楷体"/>
          <w:sz w:val="24"/>
        </w:rPr>
        <w:t>2. 本周拜访杭州海昶生物医药技术有限公司，重点询问海外销售国家、主要结算币种、回款周期和订单备货需求，切入跨境结算、平安避险和订单融资。</w:t>
      </w:r>
    </w:p>
    <w:p>
      <w:r>
        <w:rPr>
          <w:rFonts w:ascii="华文楷体" w:hAnsi="华文楷体" w:eastAsia="华文楷体"/>
          <w:sz w:val="24"/>
        </w:rPr>
        <w:t>3. 对华东医药股份有限公司和浙江英特集团股份有限公司，建议从核心企业供应链切入，先梳理供应商、经销商和医院账期，再设计付融通、保理、商票保贴和数字财资组合。</w:t>
      </w:r>
    </w:p>
    <w:p>
      <w:r>
        <w:rPr>
          <w:rFonts w:ascii="华文楷体" w:hAnsi="华文楷体" w:eastAsia="华文楷体"/>
          <w:sz w:val="24"/>
        </w:rPr>
        <w:t>4. 对浙江拱东医疗器械股份有限公司，建议从出口订单、票据使用、设备更新和库存周转切入，联动票据、订单融资、平安租赁和跨境产品经理。</w:t>
      </w:r>
    </w:p>
    <w:p>
      <w:r>
        <w:rPr>
          <w:rFonts w:ascii="华文楷体" w:hAnsi="华文楷体" w:eastAsia="华文楷体"/>
          <w:sz w:val="24"/>
        </w:rPr>
        <w:t>5. 分行层面建议建立“钱塘医药港创新药企业清单+台州器械/原料药企业清单+绍兴生物制造企业清单”，按融资事件、临床里程碑、产能建设和海外订单四类触发信号滚动营销。</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华文楷体" w:hAnsi="华文楷体" w:eastAsia="华文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华文楷体" w:hAnsi="华文楷体" w:eastAsia="华文楷体"/>
    </w:rPr>
  </w:style>
  <w:style w:type="character" w:customStyle="1" w:styleId="HeaderChar">
    <w:name w:val="Header Char"/>
    <w:basedOn w:val="DefaultParagraphFont"/>
    <w:link w:val="Header"/>
    <w:uiPriority w:val="99"/>
    <w:rsid w:val="00E618BF"/>
    <w:rPr>
      <w:rFonts w:ascii="华文楷体" w:hAnsi="华文楷体" w:eastAsia="华文楷体"/>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华文楷体" w:hAnsi="华文楷体" w:eastAsia="华文楷体"/>
    </w:rPr>
  </w:style>
  <w:style w:type="character" w:customStyle="1" w:styleId="FooterChar">
    <w:name w:val="Footer Char"/>
    <w:basedOn w:val="DefaultParagraphFont"/>
    <w:link w:val="Footer"/>
    <w:uiPriority w:val="99"/>
    <w:rsid w:val="00E618BF"/>
    <w:rPr>
      <w:rFonts w:ascii="华文楷体" w:hAnsi="华文楷体" w:eastAsia="华文楷体"/>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华文楷体" w:hAnsi="华文楷体" w:eastAsia="华文楷体"/>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华文楷体" w:hAnsi="华文楷体" w:eastAsia="华文楷体"/>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华文楷体" w:hAnsi="华文楷体" w:eastAsia="华文楷体"/>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华文楷体" w:hAnsi="华文楷体" w:eastAsia="华文楷体"/>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华文楷体" w:hAnsi="华文楷体" w:eastAsia="华文楷体"/>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华文楷体" w:hAnsi="华文楷体" w:eastAsia="华文楷体"/>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华文楷体" w:hAnsi="华文楷体" w:eastAsia="华文楷体"/>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华文楷体" w:hAnsi="华文楷体" w:eastAsia="华文楷体"/>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华文楷体" w:hAnsi="华文楷体" w:eastAsia="华文楷体"/>
      <w:i/>
      <w:iCs/>
      <w:color w:val="404040" w:themeColor="text1" w:themeTint="BF"/>
      <w:sz w:val="20"/>
      <w:szCs w:val="20"/>
    </w:rPr>
  </w:style>
  <w:style w:type="character" w:default="1" w:styleId="DefaultParagraphFont">
    <w:name w:val="Default Paragraph Font"/>
    <w:uiPriority w:val="1"/>
    <w:semiHidden/>
    <w:unhideWhenUsed/>
    <w:rPr>
      <w:rFonts w:ascii="华文楷体" w:hAnsi="华文楷体" w:eastAsia="华文楷体"/>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华文楷体" w:hAnsi="华文楷体" w:eastAsia="华文楷体"/>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华文楷体" w:hAnsi="华文楷体" w:eastAsia="华文楷体"/>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华文楷体" w:hAnsi="华文楷体" w:eastAsia="华文楷体"/>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华文楷体" w:hAnsi="华文楷体" w:eastAsia="华文楷体"/>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华文楷体" w:hAnsi="华文楷体" w:eastAsia="华文楷体"/>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华文楷体" w:hAnsi="华文楷体" w:eastAsia="华文楷体"/>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华文楷体" w:hAnsi="华文楷体" w:eastAsia="华文楷体"/>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华文楷体" w:hAnsi="华文楷体" w:eastAsia="华文楷体"/>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华文楷体" w:hAnsi="华文楷体" w:eastAsia="华文楷体"/>
    </w:rPr>
  </w:style>
  <w:style w:type="paragraph" w:styleId="BodyText">
    <w:name w:val="Body Text"/>
    <w:basedOn w:val="Normal"/>
    <w:link w:val="BodyTextChar"/>
    <w:uiPriority w:val="99"/>
    <w:unhideWhenUsed/>
    <w:rsid w:val="00AA1D8D"/>
    <w:pPr>
      <w:spacing w:after="120"/>
    </w:pPr>
    <w:rPr>
      <w:rFonts w:ascii="华文楷体" w:hAnsi="华文楷体" w:eastAsia="华文楷体"/>
    </w:rPr>
  </w:style>
  <w:style w:type="character" w:customStyle="1" w:styleId="BodyTextChar">
    <w:name w:val="Body Text Char"/>
    <w:basedOn w:val="DefaultParagraphFont"/>
    <w:link w:val="BodyText"/>
    <w:uiPriority w:val="99"/>
    <w:rsid w:val="00AA1D8D"/>
    <w:rPr>
      <w:rFonts w:ascii="华文楷体" w:hAnsi="华文楷体" w:eastAsia="华文楷体"/>
    </w:rPr>
  </w:style>
  <w:style w:type="paragraph" w:styleId="BodyText2">
    <w:name w:val="Body Text 2"/>
    <w:basedOn w:val="Normal"/>
    <w:link w:val="BodyText2Char"/>
    <w:uiPriority w:val="99"/>
    <w:unhideWhenUsed/>
    <w:rsid w:val="00AA1D8D"/>
    <w:pPr>
      <w:spacing w:after="120" w:line="480" w:lineRule="auto"/>
    </w:pPr>
    <w:rPr>
      <w:rFonts w:ascii="华文楷体" w:hAnsi="华文楷体" w:eastAsia="华文楷体"/>
    </w:rPr>
  </w:style>
  <w:style w:type="character" w:customStyle="1" w:styleId="BodyText2Char">
    <w:name w:val="Body Text 2 Char"/>
    <w:basedOn w:val="DefaultParagraphFont"/>
    <w:link w:val="BodyText2"/>
    <w:uiPriority w:val="99"/>
    <w:rsid w:val="00AA1D8D"/>
    <w:rPr>
      <w:rFonts w:ascii="华文楷体" w:hAnsi="华文楷体" w:eastAsia="华文楷体"/>
    </w:rPr>
  </w:style>
  <w:style w:type="paragraph" w:styleId="BodyText3">
    <w:name w:val="Body Text 3"/>
    <w:basedOn w:val="Normal"/>
    <w:link w:val="BodyText3Char"/>
    <w:uiPriority w:val="99"/>
    <w:unhideWhenUsed/>
    <w:rsid w:val="00AA1D8D"/>
    <w:pPr>
      <w:spacing w:after="120"/>
    </w:pPr>
    <w:rPr>
      <w:rFonts w:ascii="华文楷体" w:hAnsi="华文楷体" w:eastAsia="华文楷体"/>
      <w:sz w:val="16"/>
      <w:szCs w:val="16"/>
    </w:rPr>
  </w:style>
  <w:style w:type="character" w:customStyle="1" w:styleId="BodyText3Char">
    <w:name w:val="Body Text 3 Char"/>
    <w:basedOn w:val="DefaultParagraphFont"/>
    <w:link w:val="BodyText3"/>
    <w:uiPriority w:val="99"/>
    <w:rsid w:val="00AA1D8D"/>
    <w:rPr>
      <w:rFonts w:ascii="华文楷体" w:hAnsi="华文楷体" w:eastAsia="华文楷体"/>
      <w:sz w:val="16"/>
      <w:szCs w:val="16"/>
    </w:rPr>
  </w:style>
  <w:style w:type="paragraph" w:styleId="List">
    <w:name w:val="List"/>
    <w:basedOn w:val="Normal"/>
    <w:uiPriority w:val="99"/>
    <w:unhideWhenUsed/>
    <w:rsid w:val="00AA1D8D"/>
    <w:pPr>
      <w:ind w:left="360" w:hanging="360"/>
      <w:contextualSpacing/>
    </w:pPr>
    <w:rPr>
      <w:rFonts w:ascii="华文楷体" w:hAnsi="华文楷体" w:eastAsia="华文楷体"/>
    </w:rPr>
  </w:style>
  <w:style w:type="paragraph" w:styleId="List2">
    <w:name w:val="List 2"/>
    <w:basedOn w:val="Normal"/>
    <w:uiPriority w:val="99"/>
    <w:unhideWhenUsed/>
    <w:rsid w:val="00326F90"/>
    <w:pPr>
      <w:ind w:left="720" w:hanging="360"/>
      <w:contextualSpacing/>
    </w:pPr>
    <w:rPr>
      <w:rFonts w:ascii="华文楷体" w:hAnsi="华文楷体" w:eastAsia="华文楷体"/>
    </w:rPr>
  </w:style>
  <w:style w:type="paragraph" w:styleId="List3">
    <w:name w:val="List 3"/>
    <w:basedOn w:val="Normal"/>
    <w:uiPriority w:val="99"/>
    <w:unhideWhenUsed/>
    <w:rsid w:val="00326F90"/>
    <w:pPr>
      <w:ind w:left="1080" w:hanging="360"/>
      <w:contextualSpacing/>
    </w:pPr>
    <w:rPr>
      <w:rFonts w:ascii="华文楷体" w:hAnsi="华文楷体" w:eastAsia="华文楷体"/>
    </w:rPr>
  </w:style>
  <w:style w:type="paragraph" w:styleId="ListBullet">
    <w:name w:val="List Bullet"/>
    <w:basedOn w:val="Normal"/>
    <w:uiPriority w:val="99"/>
    <w:unhideWhenUsed/>
    <w:rsid w:val="00326F90"/>
    <w:pPr>
      <w:numPr>
        <w:numId w:val="1"/>
      </w:numPr>
      <w:contextualSpacing/>
    </w:pPr>
    <w:rPr>
      <w:rFonts w:ascii="华文楷体" w:hAnsi="华文楷体" w:eastAsia="华文楷体"/>
    </w:rPr>
  </w:style>
  <w:style w:type="paragraph" w:styleId="ListBullet2">
    <w:name w:val="List Bullet 2"/>
    <w:basedOn w:val="Normal"/>
    <w:uiPriority w:val="99"/>
    <w:unhideWhenUsed/>
    <w:rsid w:val="00326F90"/>
    <w:pPr>
      <w:numPr>
        <w:numId w:val="2"/>
      </w:numPr>
      <w:contextualSpacing/>
    </w:pPr>
    <w:rPr>
      <w:rFonts w:ascii="华文楷体" w:hAnsi="华文楷体" w:eastAsia="华文楷体"/>
    </w:rPr>
  </w:style>
  <w:style w:type="paragraph" w:styleId="ListBullet3">
    <w:name w:val="List Bullet 3"/>
    <w:basedOn w:val="Normal"/>
    <w:uiPriority w:val="99"/>
    <w:unhideWhenUsed/>
    <w:rsid w:val="00326F90"/>
    <w:pPr>
      <w:numPr>
        <w:numId w:val="3"/>
      </w:numPr>
      <w:contextualSpacing/>
    </w:pPr>
    <w:rPr>
      <w:rFonts w:ascii="华文楷体" w:hAnsi="华文楷体" w:eastAsia="华文楷体"/>
    </w:rPr>
  </w:style>
  <w:style w:type="paragraph" w:styleId="ListNumber">
    <w:name w:val="List Number"/>
    <w:basedOn w:val="Normal"/>
    <w:uiPriority w:val="99"/>
    <w:unhideWhenUsed/>
    <w:rsid w:val="00326F90"/>
    <w:pPr>
      <w:numPr>
        <w:numId w:val="5"/>
      </w:numPr>
      <w:contextualSpacing/>
    </w:pPr>
    <w:rPr>
      <w:rFonts w:ascii="华文楷体" w:hAnsi="华文楷体" w:eastAsia="华文楷体"/>
    </w:rPr>
  </w:style>
  <w:style w:type="paragraph" w:styleId="ListNumber2">
    <w:name w:val="List Number 2"/>
    <w:basedOn w:val="Normal"/>
    <w:uiPriority w:val="99"/>
    <w:unhideWhenUsed/>
    <w:rsid w:val="0029639D"/>
    <w:pPr>
      <w:numPr>
        <w:numId w:val="6"/>
      </w:numPr>
      <w:contextualSpacing/>
    </w:pPr>
    <w:rPr>
      <w:rFonts w:ascii="华文楷体" w:hAnsi="华文楷体" w:eastAsia="华文楷体"/>
    </w:rPr>
  </w:style>
  <w:style w:type="paragraph" w:styleId="ListNumber3">
    <w:name w:val="List Number 3"/>
    <w:basedOn w:val="Normal"/>
    <w:uiPriority w:val="99"/>
    <w:unhideWhenUsed/>
    <w:rsid w:val="0029639D"/>
    <w:pPr>
      <w:numPr>
        <w:numId w:val="7"/>
      </w:numPr>
      <w:contextualSpacing/>
    </w:pPr>
    <w:rPr>
      <w:rFonts w:ascii="华文楷体" w:hAnsi="华文楷体" w:eastAsia="华文楷体"/>
    </w:rPr>
  </w:style>
  <w:style w:type="paragraph" w:styleId="ListContinue">
    <w:name w:val="List Continue"/>
    <w:basedOn w:val="Normal"/>
    <w:uiPriority w:val="99"/>
    <w:unhideWhenUsed/>
    <w:rsid w:val="0029639D"/>
    <w:pPr>
      <w:spacing w:after="120"/>
      <w:ind w:left="360"/>
      <w:contextualSpacing/>
    </w:pPr>
    <w:rPr>
      <w:rFonts w:ascii="华文楷体" w:hAnsi="华文楷体" w:eastAsia="华文楷体"/>
    </w:rPr>
  </w:style>
  <w:style w:type="paragraph" w:styleId="ListContinue2">
    <w:name w:val="List Continue 2"/>
    <w:basedOn w:val="Normal"/>
    <w:uiPriority w:val="99"/>
    <w:unhideWhenUsed/>
    <w:rsid w:val="0029639D"/>
    <w:pPr>
      <w:spacing w:after="120"/>
      <w:ind w:left="720"/>
      <w:contextualSpacing/>
    </w:pPr>
    <w:rPr>
      <w:rFonts w:ascii="华文楷体" w:hAnsi="华文楷体" w:eastAsia="华文楷体"/>
    </w:rPr>
  </w:style>
  <w:style w:type="paragraph" w:styleId="ListContinue3">
    <w:name w:val="List Continue 3"/>
    <w:basedOn w:val="Normal"/>
    <w:uiPriority w:val="99"/>
    <w:unhideWhenUsed/>
    <w:rsid w:val="0029639D"/>
    <w:pPr>
      <w:spacing w:after="120"/>
      <w:ind w:left="1080"/>
      <w:contextualSpacing/>
    </w:pPr>
    <w:rPr>
      <w:rFonts w:ascii="华文楷体" w:hAnsi="华文楷体" w:eastAsia="华文楷体"/>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华文楷体" w:hAnsi="华文楷体" w:eastAsia="华文楷体"/>
      <w:sz w:val="20"/>
      <w:szCs w:val="20"/>
    </w:rPr>
  </w:style>
  <w:style w:type="character" w:customStyle="1" w:styleId="MacroTextChar">
    <w:name w:val="Macro Text Char"/>
    <w:basedOn w:val="DefaultParagraphFont"/>
    <w:link w:val="MacroText"/>
    <w:uiPriority w:val="99"/>
    <w:rsid w:val="0029639D"/>
    <w:rPr>
      <w:rFonts w:ascii="华文楷体" w:hAnsi="华文楷体" w:eastAsia="华文楷体"/>
      <w:sz w:val="20"/>
      <w:szCs w:val="20"/>
    </w:rPr>
  </w:style>
  <w:style w:type="paragraph" w:styleId="Quote">
    <w:name w:val="Quote"/>
    <w:basedOn w:val="Normal"/>
    <w:next w:val="Normal"/>
    <w:link w:val="QuoteChar"/>
    <w:uiPriority w:val="29"/>
    <w:qFormat/>
    <w:rsid w:val="00FC693F"/>
    <w:rPr>
      <w:rFonts w:ascii="华文楷体" w:hAnsi="华文楷体" w:eastAsia="华文楷体"/>
      <w:i/>
      <w:iCs/>
      <w:color w:val="000000" w:themeColor="text1"/>
    </w:rPr>
  </w:style>
  <w:style w:type="character" w:customStyle="1" w:styleId="QuoteChar">
    <w:name w:val="Quote Char"/>
    <w:basedOn w:val="DefaultParagraphFont"/>
    <w:link w:val="Quote"/>
    <w:uiPriority w:val="29"/>
    <w:rsid w:val="00FC693F"/>
    <w:rPr>
      <w:rFonts w:ascii="华文楷体" w:hAnsi="华文楷体" w:eastAsia="华文楷体"/>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华文楷体" w:hAnsi="华文楷体" w:eastAsia="华文楷体"/>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华文楷体" w:hAnsi="华文楷体" w:eastAsia="华文楷体"/>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华文楷体" w:hAnsi="华文楷体" w:eastAsia="华文楷体"/>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华文楷体" w:hAnsi="华文楷体" w:eastAsia="华文楷体"/>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华文楷体" w:hAnsi="华文楷体" w:eastAsia="华文楷体"/>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华文楷体" w:hAnsi="华文楷体" w:eastAsia="华文楷体"/>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华文楷体" w:hAnsi="华文楷体" w:eastAsia="华文楷体"/>
      <w:b/>
      <w:bCs/>
      <w:color w:val="4F81BD" w:themeColor="accent1"/>
      <w:sz w:val="18"/>
      <w:szCs w:val="18"/>
    </w:rPr>
  </w:style>
  <w:style w:type="character" w:styleId="Strong">
    <w:name w:val="Strong"/>
    <w:basedOn w:val="DefaultParagraphFont"/>
    <w:uiPriority w:val="22"/>
    <w:qFormat/>
    <w:rsid w:val="00FC693F"/>
    <w:rPr>
      <w:rFonts w:ascii="华文楷体" w:hAnsi="华文楷体" w:eastAsia="华文楷体"/>
      <w:b/>
      <w:bCs/>
    </w:rPr>
  </w:style>
  <w:style w:type="character" w:styleId="Emphasis">
    <w:name w:val="Emphasis"/>
    <w:basedOn w:val="DefaultParagraphFont"/>
    <w:uiPriority w:val="20"/>
    <w:qFormat/>
    <w:rsid w:val="00FC693F"/>
    <w:rPr>
      <w:rFonts w:ascii="华文楷体" w:hAnsi="华文楷体" w:eastAsia="华文楷体"/>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华文楷体" w:hAnsi="华文楷体" w:eastAsia="华文楷体"/>
      <w:b/>
      <w:bCs/>
      <w:i/>
      <w:iCs/>
      <w:color w:val="4F81BD" w:themeColor="accent1"/>
    </w:rPr>
  </w:style>
  <w:style w:type="character" w:customStyle="1" w:styleId="IntenseQuoteChar">
    <w:name w:val="Intense Quote Char"/>
    <w:basedOn w:val="DefaultParagraphFont"/>
    <w:link w:val="IntenseQuote"/>
    <w:uiPriority w:val="30"/>
    <w:rsid w:val="00FC693F"/>
    <w:rPr>
      <w:rFonts w:ascii="华文楷体" w:hAnsi="华文楷体" w:eastAsia="华文楷体"/>
      <w:b/>
      <w:bCs/>
      <w:i/>
      <w:iCs/>
      <w:color w:val="4F81BD" w:themeColor="accent1"/>
    </w:rPr>
  </w:style>
  <w:style w:type="character" w:styleId="SubtleEmphasis">
    <w:name w:val="Subtle Emphasis"/>
    <w:basedOn w:val="DefaultParagraphFont"/>
    <w:uiPriority w:val="19"/>
    <w:qFormat/>
    <w:rsid w:val="00FC693F"/>
    <w:rPr>
      <w:rFonts w:ascii="华文楷体" w:hAnsi="华文楷体" w:eastAsia="华文楷体"/>
      <w:i/>
      <w:iCs/>
      <w:color w:val="808080" w:themeColor="text1" w:themeTint="7F"/>
    </w:rPr>
  </w:style>
  <w:style w:type="character" w:styleId="IntenseEmphasis">
    <w:name w:val="Intense Emphasis"/>
    <w:basedOn w:val="DefaultParagraphFont"/>
    <w:uiPriority w:val="21"/>
    <w:qFormat/>
    <w:rsid w:val="00FC693F"/>
    <w:rPr>
      <w:rFonts w:ascii="华文楷体" w:hAnsi="华文楷体" w:eastAsia="华文楷体"/>
      <w:b/>
      <w:bCs/>
      <w:i/>
      <w:iCs/>
      <w:color w:val="4F81BD" w:themeColor="accent1"/>
    </w:rPr>
  </w:style>
  <w:style w:type="character" w:styleId="SubtleReference">
    <w:name w:val="Subtle Reference"/>
    <w:basedOn w:val="DefaultParagraphFont"/>
    <w:uiPriority w:val="31"/>
    <w:qFormat/>
    <w:rsid w:val="00FC693F"/>
    <w:rPr>
      <w:rFonts w:ascii="华文楷体" w:hAnsi="华文楷体" w:eastAsia="华文楷体"/>
      <w:smallCaps/>
      <w:color w:val="C0504D" w:themeColor="accent2"/>
      <w:u w:val="single"/>
    </w:rPr>
  </w:style>
  <w:style w:type="character" w:styleId="IntenseReference">
    <w:name w:val="Intense Reference"/>
    <w:basedOn w:val="DefaultParagraphFont"/>
    <w:uiPriority w:val="32"/>
    <w:qFormat/>
    <w:rsid w:val="00FC693F"/>
    <w:rPr>
      <w:rFonts w:ascii="华文楷体" w:hAnsi="华文楷体" w:eastAsia="华文楷体"/>
      <w:b/>
      <w:bCs/>
      <w:smallCaps/>
      <w:color w:val="C0504D" w:themeColor="accent2"/>
      <w:spacing w:val="5"/>
      <w:u w:val="single"/>
    </w:rPr>
  </w:style>
  <w:style w:type="character" w:styleId="BookTitle">
    <w:name w:val="Book Title"/>
    <w:basedOn w:val="DefaultParagraphFont"/>
    <w:uiPriority w:val="33"/>
    <w:qFormat/>
    <w:rsid w:val="00FC693F"/>
    <w:rPr>
      <w:rFonts w:ascii="华文楷体" w:hAnsi="华文楷体" w:eastAsia="华文楷体"/>
      <w:b/>
      <w:bCs/>
      <w:smallCaps/>
      <w:spacing w:val="5"/>
    </w:rPr>
  </w:style>
  <w:style w:type="paragraph" w:styleId="TOCHeading">
    <w:name w:val="TOC Heading"/>
    <w:basedOn w:val="Heading1"/>
    <w:next w:val="Normal"/>
    <w:uiPriority w:val="39"/>
    <w:semiHidden/>
    <w:unhideWhenUsed/>
    <w:qFormat/>
    <w:rsid w:val="00FC693F"/>
    <w:pPr>
      <w:outlineLvl w:val="9"/>
    </w:pPr>
    <w:rPr>
      <w:rFonts w:ascii="华文楷体" w:hAnsi="华文楷体" w:eastAsia="华文楷体"/>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