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华文楷体" w:hAnsi="华文楷体" w:eastAsia="华文楷体"/>
          <w:color w:val="000000"/>
          <w:sz w:val="44"/>
        </w:rPr>
        <w:t>互联网行业商机周报</w:t>
      </w:r>
    </w:p>
    <w:p>
      <w:r>
        <w:rPr>
          <w:rFonts w:ascii="华文楷体" w:hAnsi="华文楷体" w:eastAsia="华文楷体"/>
          <w:color w:val="808080"/>
          <w:sz w:val="22"/>
        </w:rPr>
        <w:t>覆盖周期：2026.05.15-05.21  |  生成日期：2026年5月21日  |  地域聚焦：浙江</w:t>
      </w:r>
    </w:p>
    <w:p>
      <w:r>
        <w:rPr>
          <w:rFonts w:ascii="华文楷体" w:hAnsi="华文楷体" w:eastAsia="华文楷体"/>
          <w:color w:val="808080"/>
          <w:sz w:val="20"/>
        </w:rPr>
        <w:t>资料来源：新华网科技、36氪快讯、SearXNG多源搜索、晚点LatePost、界面新闻科技、福布斯中国等公开信息。iFinD数据源未配置，本次未纳入。</w:t>
      </w:r>
    </w:p>
    <w:p/>
    <w:p>
      <w:pPr>
        <w:pStyle w:val="Heading1"/>
      </w:pPr>
      <w:r>
        <w:rPr>
          <w:rFonts w:ascii="华文楷体" w:hAnsi="华文楷体" w:eastAsia="华文楷体"/>
          <w:color w:val="000000"/>
          <w:sz w:val="28"/>
        </w:rPr>
        <w:t>一、行业动态与发展总结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1. 近期政策变动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5月起，《商业短信滥发治理新规》正式实施，严禁未经用户同意的商业短信推送。该政策由工信部主导，为用户筑牢信息防护网，同时对依赖短信触达的互联网企业、电商平台、SaaS服务商提出了新的合规要求。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市场监管总局与国家网信办联合发布《网络交易平台规则监督管理办法》，规范网络交易平台规则的制定、修改和执行，维护网络交易秩序。该办法明确了平台规则的透明度要求，约束平台滥用规则修改权的行为，对电商、本地生活、内容平台等互联网企业的合规运营提出更高标准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综合影响闭环：通信营销新规和平台交易规则管理办法的叠加，意味着互联网企业需要重新审视用户触达方式和平台治理机制。对银行而言，互联网平台企业在合规改造、系统升级、数据治理方面的资本支出将增加，这为银行的设备采购贷款、IT改造融资、数字财资管理等业务带来机会。同时，合规压力可能加速中小平台的出清，头部平台的市占率有望提升，银行应优先服务合规能力强的头部客户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2. 政府规划与产业方向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前4个月，全国人工智能相关领域销售收入增长明显，显示出AI产业正处于高速增长通道。"九章四号"量子计算机问世，实现立方级算力突破，走出量子计算新赛道，标志着中国在算力基础设施领域持续取得突破。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涉及手机、眼镜、耳机等品类的《人工智能终端智能化分级》系列国家标准正式发布，为AI终端产品的分类、评测和市场准入提供了统一标尺，有助于推动AI硬件的产业化和消费端普及。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通信网构建空天地海一体化成为国家级技术方向。Alphabet斥资150亿美元在密苏里州新建数据中心，反映全球AI算力基建投资持续升温。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3. AI时代互联网行业发展趋势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AI应用商业化正在加速提速，行业从"拼技术"阶段进入"抢利润"阶段。腾讯、阿里等头部互联网企业在加速AI商业化的同时，均表态继续上修资本开支，显示AI投入仍是行业主旋律。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2026年，中国ERP市场规模突破487亿元，同比增长16.8%，云原生ERP渗透率达51.2%，AI深度融入企业软件成为核心增长引擎。生成式AI项目平均带来3.7倍投资回报率，头部企业最高能做到10倍。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SaaS行业面临AI的颠覆性冲击。知名创投机构分析认为，未来顶尖SaaS公司中恐怕有三分之二无法撑过AI时代。AI Agent正在替代传统SaaS的重复性人工操作，企业级AI客服、AI编程、AI营销等工具以极低成本实现同等甚至更好的效果。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互联网广告领域，2025年广告违规案件激增至5272件，环比增长93.4%，电商平台、旅游平台和金融产品领域涉诉问题突出。广告合规风险持续上升。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4. AI Token消费生态链与上下游动态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上游算力与基础设施：全球AI算力投资持续加码，Alphabet单项目在密苏里州投资150亿美元建数据中心。"九章四号"实现立方级算力突破。算力租赁厂商业务模式正在向"token工厂"方向演进，以Token为标尺的按需计费正在重塑模型服务消费的商业模式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中游模型与平台：阿里云推出金融级通用智能体"点金"，直连市场行情，原生支持Wind万得、盈米且慢、东方财富等数据源，内置全链路审计与三重合规防线。腾讯会议推出AI同传功能，支持中英双向互译，时延低于3秒。福布斯中国发布2026 AI科技企业TOP50，中关村科金等企业级AI平台表现突出。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下游应用与场景：Notion成功将AI整合进企业核心工作流。营赛AI（InSai Hilight）以"1条链接生成1分钟视频"重构电商内容生产范式。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关键判断：Token消耗快速增长的环节包括金融智能体、会议同传、电商内容生成、企业级AI客服。现金流压力最大的环节是算力租赁商（重资产投入）和AI应用创业公司（高研发+获客成本）。适合银行切入的环节包括AI SaaS企业的结算和现金管理、算力租赁商的票据和保理、金融智能体企业的短贷和跨境结算。</w:t>
      </w:r>
    </w:p>
    <w:p>
      <w:pPr>
        <w:pStyle w:val="Heading1"/>
      </w:pPr>
      <w:r>
        <w:rPr>
          <w:rFonts w:ascii="华文楷体" w:hAnsi="华文楷体" w:eastAsia="华文楷体"/>
          <w:color w:val="000000"/>
          <w:sz w:val="28"/>
        </w:rPr>
        <w:t>二、浙江地区动态与区域机会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1. 浙江政策与政府规划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5月16日，国家人工智能应用中试基地（具身智能）在杭州高新区（滨江）正式揭牌。华数传媒联合摩尔线程、沐曦股份、宇树科技、银河通用、华策影视等18家龙头企业集中签约，组成覆盖资本、芯片、本体、应用的全产业链联盟。杭州市具身智能展示与应用推广中心同步亮相，汇聚136台具身智能机器人，呈现近40个应用场景、约20个数据采集场景，87家合作企业参与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浙江省政府此前已发布《浙江省加力推动跨境电商高质量发展行动计划（2024-2027年）》，配套出台财政政策措施，支持"跨境电商+产业带"发展，培育外贸新动能。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2. 浙江重点产业与区域机会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杭州作为具身智能国家中试基地所在地，正在形成"芯片-本体-应用-资本"的完整产业链。签约企业覆盖摩尔线程（GPU芯片）、沐曦股份（AI芯片）、宇树科技（机器人本体）、华数传媒（内容平台）、华策影视（影视内容）等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浙江跨境电商+AI+X融合新模式持续推进，建议打造5个千亿级产业集群目标，设立10亿元AI技术应用基金，对"跨境电商+产业带"项目给予最高200万元补贴。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重点扫客区域：杭州滨江区（具身智能产业集群）、杭州西湖区/余杭区（AI软件、SaaS、跨境电商）、宁波（跨境电商、工业互联网）。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3. 浙江AI Token消费生态链与上下游动态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上游：摩尔线程、沐曦股份等AI芯片企业在杭州布局，为具身智能和AI应用提供算力支撑。芯片企业的流片、研发、设备采购将产生大量资金需求。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中游：华数传媒作为本地内容平台龙头企业，联合18家企业组成全产业链联盟，其在AI内容生成、智能推荐、数据治理方面的投入将持续增加。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下游：宇树科技（机器人本体）、银河通用（AI应用）、华策影视（AI影视内容）等企业正在加速AI商业化落地。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4. 银行展业机会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具身智能产业链融资：国家中试基地落地杭州滨江，18家签约企业覆盖芯片、本体、应用全链条，建议以科技创新贷/科创再贷款切入。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跨境电商AI升级：浙江跨境电商+AI+X政策推动下，建议以跨境结算+数字财资+短贷组合切入。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AI内容平台结算：华数传媒、华策影视等内容平台AI化转型，建议以资产池+慧收款+平安结算通切入。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SaaS企业出海收款：浙江SaaS企业出海趋势明显，建议以跨境支付结算+外币存款+平安避险组合切入。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AI终端标准化红利：杭州本地消费电子、智能硬件企业将迎来产品升级窗口期，建议以普惠金融科创贷+订单融资切入。</w:t>
      </w:r>
    </w:p>
    <w:p>
      <w:pPr>
        <w:pStyle w:val="Heading1"/>
      </w:pPr>
      <w:r>
        <w:rPr>
          <w:rFonts w:ascii="华文楷体" w:hAnsi="华文楷体" w:eastAsia="华文楷体"/>
          <w:color w:val="000000"/>
          <w:sz w:val="28"/>
        </w:rPr>
        <w:t>三、重点企业推荐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宇树科技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推荐等级：</w:t>
      </w:r>
      <w:r>
        <w:rPr>
          <w:rFonts w:ascii="华文楷体" w:hAnsi="华文楷体" w:eastAsia="华文楷体"/>
          <w:sz w:val="22"/>
        </w:rPr>
        <w:t>高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所属赛道：</w:t>
      </w:r>
      <w:r>
        <w:rPr>
          <w:rFonts w:ascii="华文楷体" w:hAnsi="华文楷体" w:eastAsia="华文楷体"/>
          <w:sz w:val="22"/>
        </w:rPr>
        <w:t>具身智能/机器人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所在地区：</w:t>
      </w:r>
      <w:r>
        <w:rPr>
          <w:rFonts w:ascii="华文楷体" w:hAnsi="华文楷体" w:eastAsia="华文楷体"/>
          <w:sz w:val="22"/>
        </w:rPr>
        <w:t>杭州（滨江区）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产业链位置：</w:t>
      </w:r>
      <w:r>
        <w:rPr>
          <w:rFonts w:ascii="华文楷体" w:hAnsi="华文楷体" w:eastAsia="华文楷体"/>
          <w:sz w:val="22"/>
        </w:rPr>
        <w:t>中游模型与平台/下游应用与场景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推荐方向：</w:t>
      </w:r>
      <w:r>
        <w:rPr>
          <w:rFonts w:ascii="华文楷体" w:hAnsi="华文楷体" w:eastAsia="华文楷体"/>
          <w:sz w:val="22"/>
        </w:rPr>
        <w:t>科创融资/流动资金/订单融资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企业关键信息：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基本情况：</w:t>
      </w:r>
      <w:r>
        <w:rPr>
          <w:rFonts w:ascii="华文楷体" w:hAnsi="华文楷体" w:eastAsia="华文楷体"/>
          <w:sz w:val="22"/>
        </w:rPr>
        <w:t>国内领先的四足/人形机器人企业，专注于机器人本体研发与量产，产品涵盖消费级和行业级机器人，商业模式以硬件销售+软件订阅为主，位于具身智能产业链核心环节。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高层与团队背景：</w:t>
      </w:r>
      <w:r>
        <w:rPr>
          <w:rFonts w:ascii="华文楷体" w:hAnsi="华文楷体" w:eastAsia="华文楷体"/>
          <w:sz w:val="22"/>
        </w:rPr>
        <w:t>核心创始团队来自清华大学等顶尖高校，具备深厚的机器人控制和AI算法背景。创始人王兴兴以四足机器人技术研究起家，在机器人本体设计、运动控制、AI感知方面积累了大量专利和开源项目经验。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银行关注点：</w:t>
      </w:r>
      <w:r>
        <w:rPr>
          <w:rFonts w:ascii="华文楷体" w:hAnsi="华文楷体" w:eastAsia="华文楷体"/>
          <w:sz w:val="22"/>
        </w:rPr>
        <w:t>团队在机器人领域的技术积累深厚，具身智能中试基地签约意味着公司将获得政策支持和产业资源对接。机器人量产爬坡阶段对供应链资金、设备采购、研发持续投入需求巨大。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推荐理由：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国家具身智能中试基地核心签约企业，政策背书强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具身智能是AI Token消费生态链下游最具想象力的应用方向之一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杭州本地企业，滨江产业集群效应明显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机器人量产阶段资金需求大，具备清晰的融资场景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银行展业机会：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机器人量产爬坡需要大量零部件采购和产线投入，适合订单融资/供应链金融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研发投入高、人员扩张快，适合普惠金融科创贷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硬件销售回款周期较长，适合应收账款保理/商票贴现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推荐产品组合：建议以科技创新和技术更新改造再贷款+普惠金融科创贷切入，支持企业机器人研发和量产爬坡资金需求；配套使用订单融资+付融通，用于上游零部件采购的供应链金融。额度、期限待沟通。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客户经理切入话术：宇树目前在国家具身智能中试基地签约，量产爬坡阶段对供应链资金和研发投入需求应该不小。我们行有专门针对科技型企业的科创贷和再贷款政策，审批快、利率有优势，同时可以在零部件采购环节提供订单融资，您看近期方便聊聊具体的资金安排吗？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风险提示：机器人行业仍处于商业化早期，量产进度和市场需求存在不确定性；研发费用高、盈利周期长；核心技术人才竞争激烈。暂无明显公开风险，仍需结合征信、流水、财报、合同、客户结构和实地尽调确认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华数传媒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推荐等级：</w:t>
      </w:r>
      <w:r>
        <w:rPr>
          <w:rFonts w:ascii="华文楷体" w:hAnsi="华文楷体" w:eastAsia="华文楷体"/>
          <w:sz w:val="22"/>
        </w:rPr>
        <w:t>高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所属赛道：</w:t>
      </w:r>
      <w:r>
        <w:rPr>
          <w:rFonts w:ascii="华文楷体" w:hAnsi="华文楷体" w:eastAsia="华文楷体"/>
          <w:sz w:val="22"/>
        </w:rPr>
        <w:t>内容平台/AI应用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所在地区：</w:t>
      </w:r>
      <w:r>
        <w:rPr>
          <w:rFonts w:ascii="华文楷体" w:hAnsi="华文楷体" w:eastAsia="华文楷体"/>
          <w:sz w:val="22"/>
        </w:rPr>
        <w:t>杭州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产业链位置：</w:t>
      </w:r>
      <w:r>
        <w:rPr>
          <w:rFonts w:ascii="华文楷体" w:hAnsi="华文楷体" w:eastAsia="华文楷体"/>
          <w:sz w:val="22"/>
        </w:rPr>
        <w:t>下游应用与场景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推荐方向：</w:t>
      </w:r>
      <w:r>
        <w:rPr>
          <w:rFonts w:ascii="华文楷体" w:hAnsi="华文楷体" w:eastAsia="华文楷体"/>
          <w:sz w:val="22"/>
        </w:rPr>
        <w:t>综合金融/现金管理/短贷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企业关键信息：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基本情况：</w:t>
      </w:r>
      <w:r>
        <w:rPr>
          <w:rFonts w:ascii="华文楷体" w:hAnsi="华文楷体" w:eastAsia="华文楷体"/>
          <w:sz w:val="22"/>
        </w:rPr>
        <w:t>杭州本地上市内容平台企业（000156.SZ），主营业务覆盖有线电视网络、互动电视、宽带网络、智慧城市建设等，近期积极布局AI内容生成和具身智能应用。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高层与团队背景：</w:t>
      </w:r>
      <w:r>
        <w:rPr>
          <w:rFonts w:ascii="华文楷体" w:hAnsi="华文楷体" w:eastAsia="华文楷体"/>
          <w:sz w:val="22"/>
        </w:rPr>
        <w:t>管理层具备广电系统背景和丰富的传媒产业运营经验，上市公司治理规范，信息披露透明。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银行关注点：</w:t>
      </w:r>
      <w:r>
        <w:rPr>
          <w:rFonts w:ascii="华文楷体" w:hAnsi="华文楷体" w:eastAsia="华文楷体"/>
          <w:sz w:val="22"/>
        </w:rPr>
        <w:t>作为具身智能中试基地签约的牵头企业，联合18家龙头企业组成全产业链联盟，在生态整合、产业投资、技术合作方面有较大动作空间，可能带来并购融资、项目融资等综合金融需求。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推荐理由：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上市企业，治理规范，银行授信风险相对可控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牵头具身智能全产业链联盟，生态整合能力将带动上下游企业批量获客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AI内容生成和智能推荐是华数数字化转型的核心方向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杭州本地企业，地缘优势显著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银行展业机会：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具身智能联盟生态建设可能涉及产业投资和并购，适合并购融资/银团融资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AI内容平台Token消耗增长带来云资源预付压力，适合短贷/资产池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平台上下游结算复杂，适合平安结算通/数字财资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推荐产品组合：建议以数字财资+平安结算通切入，优化平台上下游资金管理和结算效率；配套使用短贷（平安透）+资产池，应对AI内容生成带来的云资源预付压力。并购融资需求待进一步沟通。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客户经理切入话术：华数最近牵头了18家企业的具身智能联盟，生态布局动作很大。我们行在平台型企业的结算管理和资金归集方面有成熟方案，同时也有针对上市公司的综合金融服务，包括短贷、资产池、资本市场联动等，您看是否安排一次拜访详细聊聊？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风险提示：传统广电业务面临IPTV和OTT的竞争压力，转型进度需关注；AI内容投入的回报周期存在不确定性。暂无明显公开风险，仍需结合征信、流水、财报、合同、客户结构和实地尽调确认。</w:t>
      </w:r>
    </w:p>
    <w:p>
      <w:pPr>
        <w:pStyle w:val="Heading2"/>
      </w:pPr>
      <w:r>
        <w:rPr>
          <w:rFonts w:ascii="华文楷体" w:hAnsi="华文楷体" w:eastAsia="华文楷体"/>
          <w:color w:val="000000"/>
          <w:sz w:val="32"/>
        </w:rPr>
        <w:t>网易（杭州）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推荐等级：</w:t>
      </w:r>
      <w:r>
        <w:rPr>
          <w:rFonts w:ascii="华文楷体" w:hAnsi="华文楷体" w:eastAsia="华文楷体"/>
          <w:sz w:val="22"/>
        </w:rPr>
        <w:t>高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所属赛道：</w:t>
      </w:r>
      <w:r>
        <w:rPr>
          <w:rFonts w:ascii="华文楷体" w:hAnsi="华文楷体" w:eastAsia="华文楷体"/>
          <w:sz w:val="22"/>
        </w:rPr>
        <w:t>游戏/内容/AI应用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所在地区：</w:t>
      </w:r>
      <w:r>
        <w:rPr>
          <w:rFonts w:ascii="华文楷体" w:hAnsi="华文楷体" w:eastAsia="华文楷体"/>
          <w:sz w:val="22"/>
        </w:rPr>
        <w:t>杭州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产业链位置：</w:t>
      </w:r>
      <w:r>
        <w:rPr>
          <w:rFonts w:ascii="华文楷体" w:hAnsi="华文楷体" w:eastAsia="华文楷体"/>
          <w:sz w:val="22"/>
        </w:rPr>
        <w:t>下游应用与场景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推荐方向：</w:t>
      </w:r>
      <w:r>
        <w:rPr>
          <w:rFonts w:ascii="华文楷体" w:hAnsi="华文楷体" w:eastAsia="华文楷体"/>
          <w:sz w:val="22"/>
        </w:rPr>
        <w:t>现金管理/跨境结算/综合金融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企业关键信息：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基本情况：</w:t>
      </w:r>
      <w:r>
        <w:rPr>
          <w:rFonts w:ascii="华文楷体" w:hAnsi="华文楷体" w:eastAsia="华文楷体"/>
          <w:sz w:val="22"/>
        </w:rPr>
        <w:t>中国头部互联网企业，杭州为重要研发和运营基地。2026年Q1营收306亿元，同比增长6.1%；游戏及相关增值服务净收入257亿元，同比增长6.9%；有道收入13亿元，同比增长3.8%；云音乐净收入20亿元，同比增长6.6%。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高层与团队背景：</w:t>
      </w:r>
      <w:r>
        <w:rPr>
          <w:rFonts w:ascii="华文楷体" w:hAnsi="华文楷体" w:eastAsia="华文楷体"/>
          <w:sz w:val="22"/>
        </w:rPr>
        <w:t>丁磊为创始人兼CEO，具备互联网产品和技术双重背景。网易技术团队在自研引擎、AI算法、游戏开发方面积累深厚。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b/>
          <w:sz w:val="22"/>
        </w:rPr>
        <w:t>银行关注点：</w:t>
      </w:r>
      <w:r>
        <w:rPr>
          <w:rFonts w:ascii="华文楷体" w:hAnsi="华文楷体" w:eastAsia="华文楷体"/>
          <w:sz w:val="22"/>
        </w:rPr>
        <w:t>网易营收规模大、现金流充裕，游戏业务AI化将大幅增加Token消耗和模型API调用量。有道AI教育业务持续增长，海外游戏发行带来跨境收付需求。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推荐理由：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营收300亿级互联网大厂，经营稳健，银行优质客户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游戏和教育业务AI化加速，Token消耗快速增长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杭州研发中心是具身智能和AI应用的重要人才池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跨境业务（海外游戏、有道出海）带来外汇和跨境结算需求</w:t>
      </w:r>
    </w:p>
    <w:p>
      <w:pPr>
        <w:spacing w:after="120"/>
      </w:pPr>
      <w:r>
        <w:rPr>
          <w:rFonts w:ascii="华文楷体" w:hAnsi="华文楷体" w:eastAsia="华文楷体"/>
          <w:b/>
          <w:sz w:val="24"/>
        </w:rPr>
        <w:t>银行展业机会：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大规模Token消耗和云资源预付，适合现金管理和短贷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海外游戏发行收入，适合跨境支付结算+外币存款+平安避险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员工规模大、薪酬支出高，适合平安薪代发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推荐产品组合：建议以数字财资+跨境支付结算切入，管理网易杭州研发中心的日常资金运营和海外游戏收付；配套使用外币存款+平安避险+平安薪，用于外汇管理和员工薪酬代发。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客户经理切入话术：网易Q1营收增长稳健，游戏和有道的AI化投入应该不小。我们行在大型互联网企业的资金管理和跨境结算方面有丰富经验，同时也有平安薪代发和外汇避险等配套服务，能否安排一次拜访，聊聊网易在杭州的资金和跨境需求？</w:t>
      </w:r>
    </w:p>
    <w:p>
      <w:pPr>
        <w:spacing w:after="120"/>
      </w:pPr>
      <w:r>
        <w:rPr>
          <w:rFonts w:ascii="华文楷体" w:hAnsi="华文楷体" w:eastAsia="华文楷体"/>
          <w:b w:val="0"/>
          <w:sz w:val="24"/>
        </w:rPr>
        <w:t>风险提示：游戏行业政策监管持续，版号审批节奏影响新品上线；AI研发投入大、回报周期不确定。暂无明显公开风险，仍需结合征信、流水、财报、合同、客户结构和实地尽调确认。</w:t>
      </w:r>
    </w:p>
    <w:p>
      <w:pPr>
        <w:pStyle w:val="Heading1"/>
      </w:pPr>
      <w:r>
        <w:rPr>
          <w:rFonts w:ascii="华文楷体" w:hAnsi="华文楷体" w:eastAsia="华文楷体"/>
          <w:color w:val="000000"/>
          <w:sz w:val="28"/>
        </w:rPr>
        <w:t>四、客户经理行动建议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优先拜访宇树科技和华数传媒：两家均是国家具身智能中试基地核心签约企业，位于杭州滨江，地缘优势明显。建议本周内完成首次对接。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从AI算力预付和Token消耗场景切入沟通：先了解企业在AI模型调用、云资源、算力租赁方面的支出规模，再匹配短贷、资产池、票据贴现等方案。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重点扫客杭州滨江区具身智能产业集群：围绕18家签约企业和87家合作企业，按产业链分层逐一对接。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准备科创贷方案和跨境结算方案：针对浙江AI/跨境电商企业，提前准备好产品要素和审批流程。</w:t>
      </w:r>
    </w:p>
    <w:p>
      <w:pPr>
        <w:pStyle w:val="ListBullet"/>
        <w:spacing w:after="60"/>
      </w:pPr>
      <w:r>
        <w:rPr>
          <w:rFonts w:ascii="华文楷体" w:hAnsi="华文楷体" w:eastAsia="华文楷体"/>
          <w:sz w:val="22"/>
        </w:rPr>
        <w:t>关注珀莱雅收购花知晓案的金融衍生机会：珀莱雅（总部杭州）拟以3.51亿元收购花知晓股权至51%，建议主动对接。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