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华文楷体" w:hAnsi="华文楷体" w:eastAsia="华文楷体"/>
          <w:sz w:val="24"/>
        </w:rPr>
        <w:t>互联网行业商机周报</w:t>
      </w:r>
    </w:p>
    <w:p>
      <w:r>
        <w:rPr>
          <w:rFonts w:ascii="华文楷体" w:hAnsi="华文楷体" w:eastAsia="华文楷体"/>
          <w:sz w:val="24"/>
        </w:rPr>
        <w:t>覆盖周期：2026.05.15-05.22</w:t>
      </w:r>
    </w:p>
    <w:p>
      <w:r>
        <w:rPr>
          <w:rFonts w:ascii="华文楷体" w:hAnsi="华文楷体" w:eastAsia="华文楷体"/>
          <w:sz w:val="24"/>
        </w:rPr>
        <w:t>资料来源：国家数据局、国家发改委发布会、市场监管总局发布会、人民日报/人民网、新华社/新华网、科技日报、证券时报、21世纪经济报道、界面新闻、36氪、财联社、iFinD公告语义检索、SearXNG站内搜索等公开资料。iFinD热点事件接口返回403，已以公告语义检索结果补充。</w:t>
      </w:r>
    </w:p>
    <w:p>
      <w:pPr>
        <w:pStyle w:val="Heading1"/>
      </w:pPr>
      <w:r>
        <w:rPr>
          <w:rFonts w:ascii="华文楷体" w:hAnsi="华文楷体" w:eastAsia="华文楷体"/>
          <w:sz w:val="24"/>
        </w:rPr>
        <w:t>一、行业动态与发展总结</w:t>
      </w:r>
    </w:p>
    <w:p>
      <w:pPr>
        <w:pStyle w:val="Heading2"/>
      </w:pPr>
      <w:r>
        <w:rPr>
          <w:rFonts w:ascii="华文楷体" w:hAnsi="华文楷体" w:eastAsia="华文楷体"/>
          <w:sz w:val="24"/>
        </w:rPr>
        <w:t>1. 近期政策变动</w:t>
      </w:r>
    </w:p>
    <w:p>
      <w:r>
        <w:rPr>
          <w:rFonts w:ascii="华文楷体" w:hAnsi="华文楷体" w:eastAsia="华文楷体"/>
          <w:sz w:val="24"/>
        </w:rPr>
        <w:t>国家数据局印发《2026年数字经济发展工作要点》，将数据要素市场化配置、全国一体化算力网、数据赋能人工智能、数字经济核心企业培育、制造业数字化转型、数据安全治理和数字经济国际合作列为年度重点。这意味着互联网企业的竞争重点正在从流量和用户增长，转向数据资产、算力调度、行业AI应用和合规运营能力。</w:t>
      </w:r>
    </w:p>
    <w:p>
      <w:r>
        <w:rPr>
          <w:rFonts w:ascii="华文楷体" w:hAnsi="华文楷体" w:eastAsia="华文楷体"/>
          <w:sz w:val="24"/>
        </w:rPr>
        <w:t>国家发改委在5月22日发布会上强调推动人工智能与经济社会各行业广泛深度融合，并指导国产大模型加大力度适配国产算力芯片。对AI应用企业而言，国产算力适配会提高自主可控要求，也会推动云服务、MaaS平台、模型推理和行业大模型项目进入更密集的采购周期。</w:t>
      </w:r>
    </w:p>
    <w:p>
      <w:r>
        <w:rPr>
          <w:rFonts w:ascii="华文楷体" w:hAnsi="华文楷体" w:eastAsia="华文楷体"/>
          <w:sz w:val="24"/>
        </w:rPr>
        <w:t>市场监管总局明确将集中整治直播电商广告、引证广告、AI生成广告等违法行为，并推进统一大市场和信用监管工具运用。互联网广告、内容电商、直播电商和AIGC营销公司需要同步加强素材审核、数据留痕、广告合规与内容风控系统建设。</w:t>
      </w:r>
    </w:p>
    <w:p>
      <w:r>
        <w:rPr>
          <w:rFonts w:ascii="华文楷体" w:hAnsi="华文楷体" w:eastAsia="华文楷体"/>
          <w:sz w:val="24"/>
        </w:rPr>
        <w:t>综合影响闭环：政策信号指向“算力网+数据要素+AI应用+合规治理”四条主线。行业经营含义是AI应用商业化仍处上行期，但合规、算力成本和数据安全成为硬约束。金融需求将集中在云资源预付、算力设备采购、政企项目账期、广告合规系统改造、跨境数据与结算合规等场景。平安银行可从短贷、普惠金融科创贷、科技创新和技术更新改造再贷款、资产池、数字财资、付融通、商票e贴、跨境结算和平安避险切入。</w:t>
      </w:r>
    </w:p>
    <w:p>
      <w:pPr>
        <w:pStyle w:val="Heading2"/>
      </w:pPr>
      <w:r>
        <w:rPr>
          <w:rFonts w:ascii="华文楷体" w:hAnsi="华文楷体" w:eastAsia="华文楷体"/>
          <w:sz w:val="24"/>
        </w:rPr>
        <w:t>2. 政府规划与产业方向</w:t>
      </w:r>
    </w:p>
    <w:p>
      <w:r>
        <w:rPr>
          <w:rFonts w:ascii="华文楷体" w:hAnsi="华文楷体" w:eastAsia="华文楷体"/>
          <w:sz w:val="24"/>
        </w:rPr>
        <w:t>国家层面继续把数字经济作为稳增长和新质生产力的重要抓手。一体化算力网、数据基础设施、数据产权登记、公共数据授权运营价格形成机制，将推动数据、网络、算力、能源协同布局。对互联网企业而言，未来的核心资源不只是用户流量，而是可合规调用的数据、稳定低成本的推理算力和可复用的行业场景。</w:t>
      </w:r>
    </w:p>
    <w:p>
      <w:r>
        <w:rPr>
          <w:rFonts w:ascii="华文楷体" w:hAnsi="华文楷体" w:eastAsia="华文楷体"/>
          <w:sz w:val="24"/>
        </w:rPr>
        <w:t>产业方向上，AI不再只停留在大模型发布和参数竞赛，而是进入智能体、MaaS、AI办公、AI营销、AI客服、AI电商、AI编程、AI视频、工业智能体和数据治理平台的商业化阶段。企业级AI服务将从“买软件席位”转向“按任务、按调用量、按Token、按价值结果”付费。</w:t>
      </w:r>
    </w:p>
    <w:p>
      <w:pPr>
        <w:pStyle w:val="Heading2"/>
      </w:pPr>
      <w:r>
        <w:rPr>
          <w:rFonts w:ascii="华文楷体" w:hAnsi="华文楷体" w:eastAsia="华文楷体"/>
          <w:sz w:val="24"/>
        </w:rPr>
        <w:t>3. AI时代互联网行业发展趋势</w:t>
      </w:r>
    </w:p>
    <w:p>
      <w:r>
        <w:rPr>
          <w:rFonts w:ascii="华文楷体" w:hAnsi="华文楷体" w:eastAsia="华文楷体"/>
          <w:sz w:val="24"/>
        </w:rPr>
        <w:t>本周行业处于“AI基础设施景气、SaaS估值承压、应用商业化分化”的阶段。21世纪经济报道跟踪显示，全球SaaS与企业应用软件板块估值明显回落，AI Agent正在冲击传统按席位订阅制。国内软件企业仍具备数据安全、私有化部署、行业定制等壁垒，但必须尽快把AI嵌入业务流程，而不是只做功能插件。</w:t>
      </w:r>
    </w:p>
    <w:p>
      <w:r>
        <w:rPr>
          <w:rFonts w:ascii="华文楷体" w:hAnsi="华文楷体" w:eastAsia="华文楷体"/>
          <w:sz w:val="24"/>
        </w:rPr>
        <w:t>互联网场景中，搜索、广告、电商、办公、客服、内容生产、游戏、跨境获客和企业服务正在被AI重构。更值得银行关注的企业类型包括：拥有稳定企业客户和数据资产的SaaS公司、能把AI变成付费功能的垂直应用公司、服务跨境卖家的平台和支付结算公司、具备算力或MaaS入口的平台型企业，以及能带动开发者和ISV生态的云平台。</w:t>
      </w:r>
    </w:p>
    <w:p>
      <w:r>
        <w:rPr>
          <w:rFonts w:ascii="华文楷体" w:hAnsi="华文楷体" w:eastAsia="华文楷体"/>
          <w:sz w:val="24"/>
        </w:rPr>
        <w:t>主要风险包括：AI生成广告和直播电商监管加强、数据安全与算法备案压力、模型推理成本高于商业化收入、SaaS续费率下滑、政企项目回款周期拉长、海外平台规则和汇率波动。</w:t>
      </w:r>
    </w:p>
    <w:p>
      <w:pPr>
        <w:pStyle w:val="Heading2"/>
      </w:pPr>
      <w:r>
        <w:rPr>
          <w:rFonts w:ascii="华文楷体" w:hAnsi="华文楷体" w:eastAsia="华文楷体"/>
          <w:sz w:val="24"/>
        </w:rPr>
        <w:t>4. AI Token消费生态链与上下游动态</w:t>
      </w:r>
    </w:p>
    <w:p>
      <w:r>
        <w:rPr>
          <w:rFonts w:ascii="华文楷体" w:hAnsi="华文楷体" w:eastAsia="华文楷体"/>
          <w:sz w:val="24"/>
        </w:rPr>
        <w:t>上游方面，证券时报报道三大运营商开始推出Token算力服务，上海电信、联通、移动相继试水按Token计费，算力租赁商也从“卖裸算力”转向“卖Token/模型服务”。这表明推理算力正在成为可计价、可结算、可规模化采购的生产资料。</w:t>
      </w:r>
    </w:p>
    <w:p>
      <w:r>
        <w:rPr>
          <w:rFonts w:ascii="华文楷体" w:hAnsi="华文楷体" w:eastAsia="华文楷体"/>
          <w:sz w:val="24"/>
        </w:rPr>
        <w:t>中游方面，iFinD公告语义检索显示阿里巴巴在海外监管公告中强调AI智能体将由模型生成Token驱动，AI相关收入占云智能集团外部商业化收入较高比例，千问模型、PAI平台、灵骏智算、MaaS能力构成AI+云全栈服务。该信号对浙江尤其重要，因为杭州是阿里云、千问生态和AI开发者生态的重要承载地。</w:t>
      </w:r>
    </w:p>
    <w:p>
      <w:r>
        <w:rPr>
          <w:rFonts w:ascii="华文楷体" w:hAnsi="华文楷体" w:eastAsia="华文楷体"/>
          <w:sz w:val="24"/>
        </w:rPr>
        <w:t>下游方面，企业级AI应用从“提效工具”走向“运营基础设施”。SaaS、私域运营、数字营销、游戏、电商和跨境获客工具都在探索按量计费、任务计费和AI功能付费。现金流压力最大的环节通常是下游AI应用公司：收入端仍在验证付费率，成本端却需要持续支付模型API、云服务、数据标注和研发人员费用。</w:t>
      </w:r>
    </w:p>
    <w:p>
      <w:r>
        <w:rPr>
          <w:rFonts w:ascii="华文楷体" w:hAnsi="华文楷体" w:eastAsia="华文楷体"/>
          <w:sz w:val="24"/>
        </w:rPr>
        <w:t>适合银行切入的环节包括：算力和服务器采购对应平安租赁、科技创新和技术更新改造再贷款；模型API和云资源预付对应短贷、资产池、数字财资；政企和大客户项目账期对应付融通、保理、商票保贴、商票e贴；跨境AI工具和SaaS出海对应跨境支付结算、跨境资金管理、外币存款、人民币国际证+福费廷和平安避险。</w:t>
      </w:r>
    </w:p>
    <w:p>
      <w:pPr>
        <w:pStyle w:val="Heading1"/>
      </w:pPr>
      <w:r>
        <w:rPr>
          <w:rFonts w:ascii="华文楷体" w:hAnsi="华文楷体" w:eastAsia="华文楷体"/>
          <w:sz w:val="24"/>
        </w:rPr>
        <w:t>二、浙江地区动态与区域机会</w:t>
      </w:r>
    </w:p>
    <w:p>
      <w:pPr>
        <w:pStyle w:val="Heading2"/>
      </w:pPr>
      <w:r>
        <w:rPr>
          <w:rFonts w:ascii="华文楷体" w:hAnsi="华文楷体" w:eastAsia="华文楷体"/>
          <w:sz w:val="24"/>
        </w:rPr>
        <w:t>1. 浙江政策与政府规划</w:t>
      </w:r>
    </w:p>
    <w:p>
      <w:r>
        <w:rPr>
          <w:rFonts w:ascii="华文楷体" w:hAnsi="华文楷体" w:eastAsia="华文楷体"/>
          <w:sz w:val="24"/>
        </w:rPr>
        <w:t>杭州在5月19日“开局十五五”新闻发布会上明确提出打造人工智能创新发展第一城，并把平台经济向智能经济跃升作为核心方向。公开信息显示，杭州人工智能核心产业营收已达4600亿元，已集聚阿里千问、DeepSeek等开源基础大模型，以及宇树科技、云深处等具身智能企业，并落地医疗、具身智能等国家级人工智能中试基地。</w:t>
      </w:r>
    </w:p>
    <w:p>
      <w:r>
        <w:rPr>
          <w:rFonts w:ascii="华文楷体" w:hAnsi="华文楷体" w:eastAsia="华文楷体"/>
          <w:sz w:val="24"/>
        </w:rPr>
        <w:t>杭州“十五五”期间将重点推进开源基础大模型、具身智能全产业链、人工智能产业促进条例、国家数据要素综合试验区、国家数据产业集聚区、Token创新基地和结算枢纽建设。杭州还提出培育“296X”先进制造业集群，打造人工智能、视觉智能两个万亿级集群，推动AI工厂、行业大模型和工业智能体平台落地。</w:t>
      </w:r>
    </w:p>
    <w:p>
      <w:r>
        <w:rPr>
          <w:rFonts w:ascii="华文楷体" w:hAnsi="华文楷体" w:eastAsia="华文楷体"/>
          <w:sz w:val="24"/>
        </w:rPr>
        <w:t>这对本地互联网企业的影响很直接：AI企业会获得更多场景、政策、园区和资本关注；平台型企业和SaaS企业会被推动向智能体、数据治理、行业大模型服务升级；跨境电商和数字贸易企业会产生更强的数字结算、合规、汇率管理和海外收款需求。</w:t>
      </w:r>
    </w:p>
    <w:p>
      <w:pPr>
        <w:pStyle w:val="Heading2"/>
      </w:pPr>
      <w:r>
        <w:rPr>
          <w:rFonts w:ascii="华文楷体" w:hAnsi="华文楷体" w:eastAsia="华文楷体"/>
          <w:sz w:val="24"/>
        </w:rPr>
        <w:t>2. 浙江重点产业与区域机会</w:t>
      </w:r>
    </w:p>
    <w:p>
      <w:r>
        <w:rPr>
          <w:rFonts w:ascii="华文楷体" w:hAnsi="华文楷体" w:eastAsia="华文楷体"/>
          <w:sz w:val="24"/>
        </w:rPr>
        <w:t>杭州是本周最值得扫客的核心区域，重点在滨江、余杭、萧山、钱塘等AI和数字经济集聚区。企业类型包括大模型与MaaS平台、企业服务SaaS、AI营销与客服、跨境数字贸易平台、游戏与内容平台、云服务生态商和工业智能体服务商。</w:t>
      </w:r>
    </w:p>
    <w:p>
      <w:r>
        <w:rPr>
          <w:rFonts w:ascii="华文楷体" w:hAnsi="华文楷体" w:eastAsia="华文楷体"/>
          <w:sz w:val="24"/>
        </w:rPr>
        <w:t>宁波、金华义乌、温州等区域适合围绕跨境电商、产业带出海、B2B平台和数字贸易服务做批量获客。浙江制造业数字化基础较强，“人工智能+制造”会带动工业软件、数据治理、工业视觉、AI质检、供应链协同平台的融资和结算需求。</w:t>
      </w:r>
    </w:p>
    <w:p>
      <w:pPr>
        <w:pStyle w:val="Heading2"/>
      </w:pPr>
      <w:r>
        <w:rPr>
          <w:rFonts w:ascii="华文楷体" w:hAnsi="华文楷体" w:eastAsia="华文楷体"/>
          <w:sz w:val="24"/>
        </w:rPr>
        <w:t>3. 浙江AI Token消费生态链与上下游动态</w:t>
      </w:r>
    </w:p>
    <w:p>
      <w:r>
        <w:rPr>
          <w:rFonts w:ascii="华文楷体" w:hAnsi="华文楷体" w:eastAsia="华文楷体"/>
          <w:sz w:val="24"/>
        </w:rPr>
        <w:t>浙江本地链条呈现“杭州模型/云/平台—全省制造和电商场景—跨境数字贸易”的结构。上游是阿里云、算力调度、IDC、数据服务和软硬件服务商；中游是千问、DeepSeek、魔搭社区、企业服务SaaS、数据治理和行业模型平台；下游是电商、直播、跨境电商、游戏、数字营销、工业软件和制造业AI应用。</w:t>
      </w:r>
    </w:p>
    <w:p>
      <w:r>
        <w:rPr>
          <w:rFonts w:ascii="华文楷体" w:hAnsi="华文楷体" w:eastAsia="华文楷体"/>
          <w:sz w:val="24"/>
        </w:rPr>
        <w:t>Token调用和云资源占用最明显的企业包括：大模型与AI平台企业、AI营销/客服/办公SaaS、游戏内容生产与运营企业、跨境卖家获客工具、工业智能体平台。银行可围绕“云资源预付、模型API成本、研发人员扩张、政企项目回款、平台商户结算、跨境收款”六类场景设计方案。</w:t>
      </w:r>
    </w:p>
    <w:p>
      <w:pPr>
        <w:pStyle w:val="Heading2"/>
      </w:pPr>
      <w:r>
        <w:rPr>
          <w:rFonts w:ascii="华文楷体" w:hAnsi="华文楷体" w:eastAsia="华文楷体"/>
          <w:sz w:val="24"/>
        </w:rPr>
        <w:t>4. 银行展业机会</w:t>
      </w:r>
    </w:p>
    <w:p>
      <w:r>
        <w:rPr>
          <w:rFonts w:ascii="华文楷体" w:hAnsi="华文楷体" w:eastAsia="华文楷体"/>
          <w:sz w:val="24"/>
        </w:rPr>
        <w:t>1. 围绕杭州AI开源生态和Token结算枢纽，优先跟进阿里云、DeepSeek及其开发者/ISV生态，用数字财资、资产池、短贷、科创贷和平台数字贷切入。</w:t>
      </w:r>
    </w:p>
    <w:p>
      <w:r>
        <w:rPr>
          <w:rFonts w:ascii="华文楷体" w:hAnsi="华文楷体" w:eastAsia="华文楷体"/>
          <w:sz w:val="24"/>
        </w:rPr>
        <w:t>2. 围绕AI Agent冲击SaaS行业，跟进群核科技、涂鸦智能等企业服务和AI应用公司，关注模型API、研发投入、客户回款和订阅转型压力，主推普惠金融科创贷、短贷、付融通、慧收款。</w:t>
      </w:r>
    </w:p>
    <w:p>
      <w:r>
        <w:rPr>
          <w:rFonts w:ascii="华文楷体" w:hAnsi="华文楷体" w:eastAsia="华文楷体"/>
          <w:sz w:val="24"/>
        </w:rPr>
        <w:t>3. 围绕杭州游戏、内容和AI营销生态，跟进网易杭州等头部平台及上下游CP、广告服务商、云服务商，用数字财资、跨境结算、平安薪、商票e贴和供应链金融扩生态。</w:t>
      </w:r>
    </w:p>
    <w:p>
      <w:r>
        <w:rPr>
          <w:rFonts w:ascii="华文楷体" w:hAnsi="华文楷体" w:eastAsia="华文楷体"/>
          <w:sz w:val="24"/>
        </w:rPr>
        <w:t>4. 围绕义乌、宁波、杭州跨境数字贸易和B2B支付平台，跟进XTransfer、跨境服务商和产业带企业，主推跨境支付结算、跨境资金管理、外币存款、人民币国际证+福费廷和平安避险。</w:t>
      </w:r>
    </w:p>
    <w:p>
      <w:pPr>
        <w:pStyle w:val="Heading1"/>
      </w:pPr>
      <w:r>
        <w:rPr>
          <w:rFonts w:ascii="华文楷体" w:hAnsi="华文楷体" w:eastAsia="华文楷体"/>
          <w:sz w:val="24"/>
        </w:rPr>
        <w:t>三、重点企业推荐</w:t>
      </w:r>
    </w:p>
    <w:p>
      <w:pPr>
        <w:pStyle w:val="Heading2"/>
      </w:pPr>
      <w:r>
        <w:rPr>
          <w:rFonts w:ascii="华文楷体" w:hAnsi="华文楷体" w:eastAsia="华文楷体"/>
          <w:sz w:val="24"/>
        </w:rPr>
        <w:t>企业名称:阿里云计算有限公司</w:t>
      </w:r>
    </w:p>
    <w:p>
      <w:pPr>
        <w:ind w:left="240"/>
      </w:pPr>
      <w:r>
        <w:rPr>
          <w:rFonts w:ascii="华文楷体" w:hAnsi="华文楷体" w:eastAsia="华文楷体"/>
          <w:sz w:val="24"/>
        </w:rPr>
        <w:t>推荐等级： 高</w:t>
      </w:r>
    </w:p>
    <w:p>
      <w:pPr>
        <w:ind w:left="240"/>
      </w:pPr>
      <w:r>
        <w:rPr>
          <w:rFonts w:ascii="华文楷体" w:hAnsi="华文楷体" w:eastAsia="华文楷体"/>
          <w:sz w:val="24"/>
        </w:rPr>
        <w:t>所属赛道： 云计算 / 大模型 / MaaS / 平台经济</w:t>
      </w:r>
    </w:p>
    <w:p>
      <w:pPr>
        <w:ind w:left="240"/>
      </w:pPr>
      <w:r>
        <w:rPr>
          <w:rFonts w:ascii="华文楷体" w:hAnsi="华文楷体" w:eastAsia="华文楷体"/>
          <w:sz w:val="24"/>
        </w:rPr>
        <w:t>所在地区： 杭州</w:t>
      </w:r>
    </w:p>
    <w:p>
      <w:pPr>
        <w:ind w:left="240"/>
      </w:pPr>
      <w:r>
        <w:rPr>
          <w:rFonts w:ascii="华文楷体" w:hAnsi="华文楷体" w:eastAsia="华文楷体"/>
          <w:sz w:val="24"/>
        </w:rPr>
        <w:t>产业链位置： 上游算力与数据 / 中游模型与平台</w:t>
      </w:r>
    </w:p>
    <w:p>
      <w:pPr>
        <w:ind w:left="240"/>
      </w:pPr>
      <w:r>
        <w:rPr>
          <w:rFonts w:ascii="华文楷体" w:hAnsi="华文楷体" w:eastAsia="华文楷体"/>
          <w:sz w:val="24"/>
        </w:rPr>
        <w:t>推荐方向： 现金管理 / 生态金融 / 供应链金融 / 跨境结算 / 综合金融</w:t>
      </w:r>
    </w:p>
    <w:p>
      <w:r>
        <w:rPr>
          <w:rFonts w:ascii="华文楷体" w:hAnsi="华文楷体" w:eastAsia="华文楷体"/>
          <w:sz w:val="24"/>
        </w:rPr>
        <w:t>企业关键信息:</w:t>
      </w:r>
    </w:p>
    <w:p>
      <w:pPr>
        <w:ind w:left="240"/>
      </w:pPr>
      <w:r>
        <w:rPr>
          <w:rFonts w:ascii="华文楷体" w:hAnsi="华文楷体" w:eastAsia="华文楷体"/>
          <w:sz w:val="24"/>
        </w:rPr>
        <w:t>基本情况: 阿里巴巴集团旗下云计算与AI基础设施平台，业务覆盖IaaS、PaaS、MaaS、千问模型、PAI平台、灵骏智算、企业级AI服务和云市场生态。</w:t>
      </w:r>
    </w:p>
    <w:p>
      <w:pPr>
        <w:ind w:left="240"/>
      </w:pPr>
      <w:r>
        <w:rPr>
          <w:rFonts w:ascii="华文楷体" w:hAnsi="华文楷体" w:eastAsia="华文楷体"/>
          <w:sz w:val="24"/>
        </w:rPr>
        <w:t>高层与团队背景: 阿里云由阿里巴巴集团体系孵化，核心管理层和技术团队来自云计算、大数据、AI基础设施和电商平台业务体系；具体个人教育、导师信息本周公开资料未充分披露，待核实。</w:t>
      </w:r>
    </w:p>
    <w:p>
      <w:pPr>
        <w:ind w:left="240"/>
      </w:pPr>
      <w:r>
        <w:rPr>
          <w:rFonts w:ascii="华文楷体" w:hAnsi="华文楷体" w:eastAsia="华文楷体"/>
          <w:sz w:val="24"/>
        </w:rPr>
        <w:t>银行关注点: 平台具备强生态带动能力，可通过云市场、开发者、ISV、企业客户和跨境商家形成批量获客入口。</w:t>
      </w:r>
    </w:p>
    <w:p>
      <w:r>
        <w:rPr>
          <w:rFonts w:ascii="华文楷体" w:hAnsi="华文楷体" w:eastAsia="华文楷体"/>
          <w:sz w:val="24"/>
        </w:rPr>
        <w:t>推荐理由:</w:t>
      </w:r>
    </w:p>
    <w:p>
      <w:pPr>
        <w:ind w:left="240"/>
      </w:pPr>
      <w:r>
        <w:rPr>
          <w:rFonts w:ascii="华文楷体" w:hAnsi="华文楷体" w:eastAsia="华文楷体"/>
          <w:sz w:val="24"/>
        </w:rPr>
        <w:t>iFinD公告显示阿里将AI智能体、Token消耗、千问模型、MaaS和云智能收入作为战略重点，AI相关收入商业化信号明确。</w:t>
      </w:r>
    </w:p>
    <w:p>
      <w:pPr>
        <w:ind w:left="240"/>
      </w:pPr>
      <w:r>
        <w:rPr>
          <w:rFonts w:ascii="华文楷体" w:hAnsi="华文楷体" w:eastAsia="华文楷体"/>
          <w:sz w:val="24"/>
        </w:rPr>
        <w:t>杭州政策明确支持阿里千问迭代升级和开源生态建设，本地产业和政策协同度高。</w:t>
      </w:r>
    </w:p>
    <w:p>
      <w:pPr>
        <w:ind w:left="240"/>
      </w:pPr>
      <w:r>
        <w:rPr>
          <w:rFonts w:ascii="华文楷体" w:hAnsi="华文楷体" w:eastAsia="华文楷体"/>
          <w:sz w:val="24"/>
        </w:rPr>
        <w:t>阿里云生态上下游包含大量软件服务商、AI应用企业、开发者和企业客户，适合银行做生态型经营。</w:t>
      </w:r>
    </w:p>
    <w:p>
      <w:r>
        <w:rPr>
          <w:rFonts w:ascii="华文楷体" w:hAnsi="华文楷体" w:eastAsia="华文楷体"/>
          <w:sz w:val="24"/>
        </w:rPr>
        <w:t>银行展业机会: 云资源和模型服务扩张带来大额资金沉淀、供应商付款、生态商户结算和跨境客户结算需求。可从总部及生态企业的数字财资、资产池、平安结算通、供应链金融、商票e贴、跨境结算切入。</w:t>
      </w:r>
    </w:p>
    <w:p>
      <w:r>
        <w:rPr>
          <w:rFonts w:ascii="华文楷体" w:hAnsi="华文楷体" w:eastAsia="华文楷体"/>
          <w:sz w:val="24"/>
        </w:rPr>
        <w:t>推荐产品组合: 建议以数字财资和资产池作为主推产品，解决多账户资金、票据和云服务生态资金管理场景；配套平安结算通、商票e贴、付融通和跨境支付结算，用于开发者、ISV、供应商和出海客户的批量经营。额度、期限、费率待沟通。</w:t>
      </w:r>
    </w:p>
    <w:p>
      <w:r>
        <w:rPr>
          <w:rFonts w:ascii="华文楷体" w:hAnsi="华文楷体" w:eastAsia="华文楷体"/>
          <w:sz w:val="24"/>
        </w:rPr>
        <w:t>客户经理切入话术: “杭州正在建设Token创新基地和AI开源生态，我们想围绕阿里云生态里的ISV、开发者和企业客户，设计一套结算、票据、短贷和跨境收款组合方案，先从高频资金流场景帮生态伙伴降本提效。”</w:t>
      </w:r>
    </w:p>
    <w:p>
      <w:r>
        <w:rPr>
          <w:rFonts w:ascii="华文楷体" w:hAnsi="华文楷体" w:eastAsia="华文楷体"/>
          <w:sz w:val="24"/>
        </w:rPr>
        <w:t>风险提示: 云计算竞争激烈，AI投入强度高，需关注资本开支、模型商业化进度、数据安全、客户集中度和生态商户合规。</w:t>
      </w:r>
    </w:p>
    <w:p>
      <w:pPr>
        <w:pStyle w:val="Heading2"/>
      </w:pPr>
      <w:r>
        <w:rPr>
          <w:rFonts w:ascii="华文楷体" w:hAnsi="华文楷体" w:eastAsia="华文楷体"/>
          <w:sz w:val="24"/>
        </w:rPr>
        <w:t>企业名称:杭州深度求索人工智能基础技术研究有限公司（DeepSeek）</w:t>
      </w:r>
    </w:p>
    <w:p>
      <w:pPr>
        <w:ind w:left="240"/>
      </w:pPr>
      <w:r>
        <w:rPr>
          <w:rFonts w:ascii="华文楷体" w:hAnsi="华文楷体" w:eastAsia="华文楷体"/>
          <w:sz w:val="24"/>
        </w:rPr>
        <w:t>推荐等级： 高</w:t>
      </w:r>
    </w:p>
    <w:p>
      <w:pPr>
        <w:ind w:left="240"/>
      </w:pPr>
      <w:r>
        <w:rPr>
          <w:rFonts w:ascii="华文楷体" w:hAnsi="华文楷体" w:eastAsia="华文楷体"/>
          <w:sz w:val="24"/>
        </w:rPr>
        <w:t>所属赛道： 大模型 / AI应用 / 开源生态</w:t>
      </w:r>
    </w:p>
    <w:p>
      <w:pPr>
        <w:ind w:left="240"/>
      </w:pPr>
      <w:r>
        <w:rPr>
          <w:rFonts w:ascii="华文楷体" w:hAnsi="华文楷体" w:eastAsia="华文楷体"/>
          <w:sz w:val="24"/>
        </w:rPr>
        <w:t>所在地区： 杭州</w:t>
      </w:r>
    </w:p>
    <w:p>
      <w:pPr>
        <w:ind w:left="240"/>
      </w:pPr>
      <w:r>
        <w:rPr>
          <w:rFonts w:ascii="华文楷体" w:hAnsi="华文楷体" w:eastAsia="华文楷体"/>
          <w:sz w:val="24"/>
        </w:rPr>
        <w:t>产业链位置： 中游模型与平台</w:t>
      </w:r>
    </w:p>
    <w:p>
      <w:pPr>
        <w:ind w:left="240"/>
      </w:pPr>
      <w:r>
        <w:rPr>
          <w:rFonts w:ascii="华文楷体" w:hAnsi="华文楷体" w:eastAsia="华文楷体"/>
          <w:sz w:val="24"/>
        </w:rPr>
        <w:t>推荐方向： 科创融资 / 流动资金 / 现金管理 / 生态金融</w:t>
      </w:r>
    </w:p>
    <w:p>
      <w:r>
        <w:rPr>
          <w:rFonts w:ascii="华文楷体" w:hAnsi="华文楷体" w:eastAsia="华文楷体"/>
          <w:sz w:val="24"/>
        </w:rPr>
        <w:t>企业关键信息:</w:t>
      </w:r>
    </w:p>
    <w:p>
      <w:pPr>
        <w:ind w:left="240"/>
      </w:pPr>
      <w:r>
        <w:rPr>
          <w:rFonts w:ascii="华文楷体" w:hAnsi="华文楷体" w:eastAsia="华文楷体"/>
          <w:sz w:val="24"/>
        </w:rPr>
        <w:t>基本情况: 杭州本地大模型企业，公开资料显示其开源模型生态受到杭州政策重点提及，是杭州打造人工智能创新发展第一城的重要标志性企业之一。</w:t>
      </w:r>
    </w:p>
    <w:p>
      <w:pPr>
        <w:ind w:left="240"/>
      </w:pPr>
      <w:r>
        <w:rPr>
          <w:rFonts w:ascii="华文楷体" w:hAnsi="华文楷体" w:eastAsia="华文楷体"/>
          <w:sz w:val="24"/>
        </w:rPr>
        <w:t>高层与团队背景: 创始人梁文锋公开资料显示为浙江大学信息与电子工程相关背景，曾从事量化投资与AI研究，具体导师及完整团队履历需进一步核实。</w:t>
      </w:r>
    </w:p>
    <w:p>
      <w:pPr>
        <w:ind w:left="240"/>
      </w:pPr>
      <w:r>
        <w:rPr>
          <w:rFonts w:ascii="华文楷体" w:hAnsi="华文楷体" w:eastAsia="华文楷体"/>
          <w:sz w:val="24"/>
        </w:rPr>
        <w:t>银行关注点: 技术团队和开源影响力有助于形成开发者生态、企业私有化部署和行业应用合作，但商业化模式仍需重点验证。</w:t>
      </w:r>
    </w:p>
    <w:p>
      <w:r>
        <w:rPr>
          <w:rFonts w:ascii="华文楷体" w:hAnsi="华文楷体" w:eastAsia="华文楷体"/>
          <w:sz w:val="24"/>
        </w:rPr>
        <w:t>推荐理由:</w:t>
      </w:r>
    </w:p>
    <w:p>
      <w:pPr>
        <w:ind w:left="240"/>
      </w:pPr>
      <w:r>
        <w:rPr>
          <w:rFonts w:ascii="华文楷体" w:hAnsi="华文楷体" w:eastAsia="华文楷体"/>
          <w:sz w:val="24"/>
        </w:rPr>
        <w:t>杭州政策明确支持DeepSeek等开源基础大模型迭代升级，政策关注度高。</w:t>
      </w:r>
    </w:p>
    <w:p>
      <w:pPr>
        <w:ind w:left="240"/>
      </w:pPr>
      <w:r>
        <w:rPr>
          <w:rFonts w:ascii="华文楷体" w:hAnsi="华文楷体" w:eastAsia="华文楷体"/>
          <w:sz w:val="24"/>
        </w:rPr>
        <w:t>开源模型会带动推理调用、私有化部署、算力采购、数据治理和下游AI应用生态。</w:t>
      </w:r>
    </w:p>
    <w:p>
      <w:pPr>
        <w:ind w:left="240"/>
      </w:pPr>
      <w:r>
        <w:rPr>
          <w:rFonts w:ascii="华文楷体" w:hAnsi="华文楷体" w:eastAsia="华文楷体"/>
          <w:sz w:val="24"/>
        </w:rPr>
        <w:t>如果商业化从模型服务走向企业级部署和行业方案，银行可较早进入资金和生态服务场景。</w:t>
      </w:r>
    </w:p>
    <w:p>
      <w:r>
        <w:rPr>
          <w:rFonts w:ascii="华文楷体" w:hAnsi="华文楷体" w:eastAsia="华文楷体"/>
          <w:sz w:val="24"/>
        </w:rPr>
        <w:t>银行展业机会: 大模型迭代和企业服务会带来研发人员扩张、算力资源预付、云服务结算、政企项目回款和开发者生态合作需求。可从普惠金融科创贷、短贷、数字财资、资产池、平安薪切入。</w:t>
      </w:r>
    </w:p>
    <w:p>
      <w:r>
        <w:rPr>
          <w:rFonts w:ascii="华文楷体" w:hAnsi="华文楷体" w:eastAsia="华文楷体"/>
          <w:sz w:val="24"/>
        </w:rPr>
        <w:t>推荐产品组合: 建议以普惠金融科创贷和短贷作为主推产品，解决研发、算力和模型服务商业化初期的流动资金需求；配套数字财资、资产池和平安薪，覆盖资金管理、票据资产和技术团队代发场景。额度、期限、费率待沟通。</w:t>
      </w:r>
    </w:p>
    <w:p>
      <w:r>
        <w:rPr>
          <w:rFonts w:ascii="华文楷体" w:hAnsi="华文楷体" w:eastAsia="华文楷体"/>
          <w:sz w:val="24"/>
        </w:rPr>
        <w:t>客户经理切入话术: “我们关注到杭州把开源大模型和Token经济作为重点方向，想了解贵司在企业级服务、算力资源和生态伙伴结算上的资金安排，看看能否用科创融资和数字财资先做轻量支持。”</w:t>
      </w:r>
    </w:p>
    <w:p>
      <w:r>
        <w:rPr>
          <w:rFonts w:ascii="华文楷体" w:hAnsi="华文楷体" w:eastAsia="华文楷体"/>
          <w:sz w:val="24"/>
        </w:rPr>
        <w:t>风险提示: 大模型商业化路径、推理成本、算力供给、知识产权、数据合规和核心团队稳定性需持续跟踪。</w:t>
      </w:r>
    </w:p>
    <w:p>
      <w:pPr>
        <w:pStyle w:val="Heading2"/>
      </w:pPr>
      <w:r>
        <w:rPr>
          <w:rFonts w:ascii="华文楷体" w:hAnsi="华文楷体" w:eastAsia="华文楷体"/>
          <w:sz w:val="24"/>
        </w:rPr>
        <w:t>企业名称:网易（杭州）网络有限公司</w:t>
      </w:r>
    </w:p>
    <w:p>
      <w:pPr>
        <w:ind w:left="240"/>
      </w:pPr>
      <w:r>
        <w:rPr>
          <w:rFonts w:ascii="华文楷体" w:hAnsi="华文楷体" w:eastAsia="华文楷体"/>
          <w:sz w:val="24"/>
        </w:rPr>
        <w:t>推荐等级： 高</w:t>
      </w:r>
    </w:p>
    <w:p>
      <w:pPr>
        <w:ind w:left="240"/>
      </w:pPr>
      <w:r>
        <w:rPr>
          <w:rFonts w:ascii="华文楷体" w:hAnsi="华文楷体" w:eastAsia="华文楷体"/>
          <w:sz w:val="24"/>
        </w:rPr>
        <w:t>所属赛道： 游戏 / 内容 / AI应用 / 教育科技</w:t>
      </w:r>
    </w:p>
    <w:p>
      <w:pPr>
        <w:ind w:left="240"/>
      </w:pPr>
      <w:r>
        <w:rPr>
          <w:rFonts w:ascii="华文楷体" w:hAnsi="华文楷体" w:eastAsia="华文楷体"/>
          <w:sz w:val="24"/>
        </w:rPr>
        <w:t>所在地区： 杭州</w:t>
      </w:r>
    </w:p>
    <w:p>
      <w:pPr>
        <w:ind w:left="240"/>
      </w:pPr>
      <w:r>
        <w:rPr>
          <w:rFonts w:ascii="华文楷体" w:hAnsi="华文楷体" w:eastAsia="华文楷体"/>
          <w:sz w:val="24"/>
        </w:rPr>
        <w:t>产业链位置： 下游应用与场景</w:t>
      </w:r>
    </w:p>
    <w:p>
      <w:pPr>
        <w:ind w:left="240"/>
      </w:pPr>
      <w:r>
        <w:rPr>
          <w:rFonts w:ascii="华文楷体" w:hAnsi="华文楷体" w:eastAsia="华文楷体"/>
          <w:sz w:val="24"/>
        </w:rPr>
        <w:t>推荐方向： 现金管理 / 跨境结算 / 代发 / 供应链金融</w:t>
      </w:r>
    </w:p>
    <w:p>
      <w:r>
        <w:rPr>
          <w:rFonts w:ascii="华文楷体" w:hAnsi="华文楷体" w:eastAsia="华文楷体"/>
          <w:sz w:val="24"/>
        </w:rPr>
        <w:t>企业关键信息:</w:t>
      </w:r>
    </w:p>
    <w:p>
      <w:pPr>
        <w:ind w:left="240"/>
      </w:pPr>
      <w:r>
        <w:rPr>
          <w:rFonts w:ascii="华文楷体" w:hAnsi="华文楷体" w:eastAsia="华文楷体"/>
          <w:sz w:val="24"/>
        </w:rPr>
        <w:t>基本情况: 网易在杭州有重要业务布局，覆盖游戏、内容、音乐、教育科技和AI应用等方向。36氪快讯显示本周网易港股表现较强，市场对软件服务和科技板块关注度提升。</w:t>
      </w:r>
    </w:p>
    <w:p>
      <w:pPr>
        <w:ind w:left="240"/>
      </w:pPr>
      <w:r>
        <w:rPr>
          <w:rFonts w:ascii="华文楷体" w:hAnsi="华文楷体" w:eastAsia="华文楷体"/>
          <w:sz w:val="24"/>
        </w:rPr>
        <w:t>高层与团队背景: 网易创始人丁磊公开资料显示毕业于电子科技大学通信相关专业，长期深耕互联网、游戏和内容平台；杭州团队具体负责人履历待核实。</w:t>
      </w:r>
    </w:p>
    <w:p>
      <w:pPr>
        <w:ind w:left="240"/>
      </w:pPr>
      <w:r>
        <w:rPr>
          <w:rFonts w:ascii="华文楷体" w:hAnsi="华文楷体" w:eastAsia="华文楷体"/>
          <w:sz w:val="24"/>
        </w:rPr>
        <w:t>银行关注点: 头部平台具备稳定现金流、技术人才密集、跨境游戏发行和生态供应商结算需求，适合综合金融经营。</w:t>
      </w:r>
    </w:p>
    <w:p>
      <w:r>
        <w:rPr>
          <w:rFonts w:ascii="华文楷体" w:hAnsi="华文楷体" w:eastAsia="华文楷体"/>
          <w:sz w:val="24"/>
        </w:rPr>
        <w:t>推荐理由:</w:t>
      </w:r>
    </w:p>
    <w:p>
      <w:pPr>
        <w:ind w:left="240"/>
      </w:pPr>
      <w:r>
        <w:rPr>
          <w:rFonts w:ascii="华文楷体" w:hAnsi="华文楷体" w:eastAsia="华文楷体"/>
          <w:sz w:val="24"/>
        </w:rPr>
        <w:t>AI正在改变游戏内容生产、客服、广告买量、翻译本地化和用户运营，网易具备场景和技术积累。</w:t>
      </w:r>
    </w:p>
    <w:p>
      <w:pPr>
        <w:ind w:left="240"/>
      </w:pPr>
      <w:r>
        <w:rPr>
          <w:rFonts w:ascii="华文楷体" w:hAnsi="华文楷体" w:eastAsia="华文楷体"/>
          <w:sz w:val="24"/>
        </w:rPr>
        <w:t>游戏和内容业务具有跨境分发、海外回款和版权合作需求。</w:t>
      </w:r>
    </w:p>
    <w:p>
      <w:pPr>
        <w:ind w:left="240"/>
      </w:pPr>
      <w:r>
        <w:rPr>
          <w:rFonts w:ascii="华文楷体" w:hAnsi="华文楷体" w:eastAsia="华文楷体"/>
          <w:sz w:val="24"/>
        </w:rPr>
        <w:t>头部平台可带动CP、广告代理、云服务、音乐内容和外包服务商批量获客。</w:t>
      </w:r>
    </w:p>
    <w:p>
      <w:r>
        <w:rPr>
          <w:rFonts w:ascii="华文楷体" w:hAnsi="华文楷体" w:eastAsia="华文楷体"/>
          <w:sz w:val="24"/>
        </w:rPr>
        <w:t>银行展业机会: 游戏发行和内容生态对应跨境收付、外币存款、汇率避险、广告投放付款、供应商结算和员工代发需求。可用数字财资、跨境支付结算、平安避险、平安薪、商票e贴和供应链金融切入。</w:t>
      </w:r>
    </w:p>
    <w:p>
      <w:r>
        <w:rPr>
          <w:rFonts w:ascii="华文楷体" w:hAnsi="华文楷体" w:eastAsia="华文楷体"/>
          <w:sz w:val="24"/>
        </w:rPr>
        <w:t>推荐产品组合: 建议以数字财资和跨境支付结算作为主推产品，服务多业务线资金归集、海外收入和广告/版权付款；配套平安避险、平安薪、商票e贴，用于汇率管理、技术团队代发和生态供应商结算。额度、期限、费率待沟通。</w:t>
      </w:r>
    </w:p>
    <w:p>
      <w:r>
        <w:rPr>
          <w:rFonts w:ascii="华文楷体" w:hAnsi="华文楷体" w:eastAsia="华文楷体"/>
          <w:sz w:val="24"/>
        </w:rPr>
        <w:t>客户经理切入话术: “AI对游戏研发、广告投放和海外发行的资金流影响很明显，我们可以先从跨境回款、汇率避险、供应商票据和研发团队代发四个场景帮网易杭州及生态伙伴做方案。”</w:t>
      </w:r>
    </w:p>
    <w:p>
      <w:r>
        <w:rPr>
          <w:rFonts w:ascii="华文楷体" w:hAnsi="华文楷体" w:eastAsia="华文楷体"/>
          <w:sz w:val="24"/>
        </w:rPr>
        <w:t>风险提示: 游戏版号、内容合规、海外平台规则、研发投入、广告投放ROI和汇率波动需关注。</w:t>
      </w:r>
    </w:p>
    <w:p>
      <w:pPr>
        <w:pStyle w:val="Heading2"/>
      </w:pPr>
      <w:r>
        <w:rPr>
          <w:rFonts w:ascii="华文楷体" w:hAnsi="华文楷体" w:eastAsia="华文楷体"/>
          <w:sz w:val="24"/>
        </w:rPr>
        <w:t>企业名称:杭州群核信息技术有限公司（群核科技/酷家乐）</w:t>
      </w:r>
    </w:p>
    <w:p>
      <w:pPr>
        <w:ind w:left="240"/>
      </w:pPr>
      <w:r>
        <w:rPr>
          <w:rFonts w:ascii="华文楷体" w:hAnsi="华文楷体" w:eastAsia="华文楷体"/>
          <w:sz w:val="24"/>
        </w:rPr>
        <w:t>推荐等级： 中高</w:t>
      </w:r>
    </w:p>
    <w:p>
      <w:pPr>
        <w:ind w:left="240"/>
      </w:pPr>
      <w:r>
        <w:rPr>
          <w:rFonts w:ascii="华文楷体" w:hAnsi="华文楷体" w:eastAsia="华文楷体"/>
          <w:sz w:val="24"/>
        </w:rPr>
        <w:t>所属赛道： AI SaaS / 设计软件 / 企业服务</w:t>
      </w:r>
    </w:p>
    <w:p>
      <w:pPr>
        <w:ind w:left="240"/>
      </w:pPr>
      <w:r>
        <w:rPr>
          <w:rFonts w:ascii="华文楷体" w:hAnsi="华文楷体" w:eastAsia="华文楷体"/>
          <w:sz w:val="24"/>
        </w:rPr>
        <w:t>所在地区： 杭州</w:t>
      </w:r>
    </w:p>
    <w:p>
      <w:pPr>
        <w:ind w:left="240"/>
      </w:pPr>
      <w:r>
        <w:rPr>
          <w:rFonts w:ascii="华文楷体" w:hAnsi="华文楷体" w:eastAsia="华文楷体"/>
          <w:sz w:val="24"/>
        </w:rPr>
        <w:t>产业链位置： 下游应用与场景 / 生态服务商</w:t>
      </w:r>
    </w:p>
    <w:p>
      <w:pPr>
        <w:ind w:left="240"/>
      </w:pPr>
      <w:r>
        <w:rPr>
          <w:rFonts w:ascii="华文楷体" w:hAnsi="华文楷体" w:eastAsia="华文楷体"/>
          <w:sz w:val="24"/>
        </w:rPr>
        <w:t>推荐方向： 科创融资 / 流动资金 / 现金管理 / 供应链金融</w:t>
      </w:r>
    </w:p>
    <w:p>
      <w:r>
        <w:rPr>
          <w:rFonts w:ascii="华文楷体" w:hAnsi="华文楷体" w:eastAsia="华文楷体"/>
          <w:sz w:val="24"/>
        </w:rPr>
        <w:t>企业关键信息:</w:t>
      </w:r>
    </w:p>
    <w:p>
      <w:pPr>
        <w:ind w:left="240"/>
      </w:pPr>
      <w:r>
        <w:rPr>
          <w:rFonts w:ascii="华文楷体" w:hAnsi="华文楷体" w:eastAsia="华文楷体"/>
          <w:sz w:val="24"/>
        </w:rPr>
        <w:t>基本情况: 群核科技以酷家乐等产品服务家居、设计、零售和产业数字化场景，具备SaaS订阅、渲染计算、设计工具和产业客户服务属性。</w:t>
      </w:r>
    </w:p>
    <w:p>
      <w:pPr>
        <w:ind w:left="240"/>
      </w:pPr>
      <w:r>
        <w:rPr>
          <w:rFonts w:ascii="华文楷体" w:hAnsi="华文楷体" w:eastAsia="华文楷体"/>
          <w:sz w:val="24"/>
        </w:rPr>
        <w:t>高层与团队背景: 公开资料显示公司创始团队具有技术和互联网产品背景，具体学校、导师及核心高管履历待核实。</w:t>
      </w:r>
    </w:p>
    <w:p>
      <w:pPr>
        <w:ind w:left="240"/>
      </w:pPr>
      <w:r>
        <w:rPr>
          <w:rFonts w:ascii="华文楷体" w:hAnsi="华文楷体" w:eastAsia="华文楷体"/>
          <w:sz w:val="24"/>
        </w:rPr>
        <w:t>银行关注点: 其客户覆盖家居制造、设计师、门店和品牌商，既有AI设计和云渲染成本，也有产业链上下游结算和小微商户批量经营空间。</w:t>
      </w:r>
    </w:p>
    <w:p>
      <w:r>
        <w:rPr>
          <w:rFonts w:ascii="华文楷体" w:hAnsi="华文楷体" w:eastAsia="华文楷体"/>
          <w:sz w:val="24"/>
        </w:rPr>
        <w:t>推荐理由:</w:t>
      </w:r>
    </w:p>
    <w:p>
      <w:pPr>
        <w:ind w:left="240"/>
      </w:pPr>
      <w:r>
        <w:rPr>
          <w:rFonts w:ascii="华文楷体" w:hAnsi="华文楷体" w:eastAsia="华文楷体"/>
          <w:sz w:val="24"/>
        </w:rPr>
        <w:t>AI Agent对传统SaaS形成冲击，设计软件需要从席位订阅升级为AI设计、智能导购、自动渲染和行业工作流服务。</w:t>
      </w:r>
    </w:p>
    <w:p>
      <w:pPr>
        <w:ind w:left="240"/>
      </w:pPr>
      <w:r>
        <w:rPr>
          <w:rFonts w:ascii="华文楷体" w:hAnsi="华文楷体" w:eastAsia="华文楷体"/>
          <w:sz w:val="24"/>
        </w:rPr>
        <w:t>杭州推进“人工智能+制造”和AI工厂，家居制造和设计数字化存在本地场景。</w:t>
      </w:r>
    </w:p>
    <w:p>
      <w:pPr>
        <w:ind w:left="240"/>
      </w:pPr>
      <w:r>
        <w:rPr>
          <w:rFonts w:ascii="华文楷体" w:hAnsi="华文楷体" w:eastAsia="华文楷体"/>
          <w:sz w:val="24"/>
        </w:rPr>
        <w:t>SaaS客户和生态服务商多，适合银行做场景化批量金融。</w:t>
      </w:r>
    </w:p>
    <w:p>
      <w:r>
        <w:rPr>
          <w:rFonts w:ascii="华文楷体" w:hAnsi="华文楷体" w:eastAsia="华文楷体"/>
          <w:sz w:val="24"/>
        </w:rPr>
        <w:t>银行展业机会: 云渲染和AI功能带来云资源预付，家居品牌和门店回款带来收款对账、供应链融资和票据需求。可从普惠金融科创贷、短贷、慧收款、付融通、平台数字贷切入。</w:t>
      </w:r>
    </w:p>
    <w:p>
      <w:r>
        <w:rPr>
          <w:rFonts w:ascii="华文楷体" w:hAnsi="华文楷体" w:eastAsia="华文楷体"/>
          <w:sz w:val="24"/>
        </w:rPr>
        <w:t>推荐产品组合: 建议以普惠金融科创贷和慧收款作为主推产品，覆盖研发投入和客户收款对账场景；配套付融通、平台数字贷、数字财资，服务家居产业链客户和生态服务商。额度、期限、费率待沟通。</w:t>
      </w:r>
    </w:p>
    <w:p>
      <w:r>
        <w:rPr>
          <w:rFonts w:ascii="华文楷体" w:hAnsi="华文楷体" w:eastAsia="华文楷体"/>
          <w:sz w:val="24"/>
        </w:rPr>
        <w:t>客户经理切入话术: “AI设计和云渲染会让SaaS企业的算力成本更前置，我们想了解贵司在云资源、品牌客户账期和生态门店结算上的痛点，看看能不能用科创贷加收款管理做组合方案。”</w:t>
      </w:r>
    </w:p>
    <w:p>
      <w:r>
        <w:rPr>
          <w:rFonts w:ascii="华文楷体" w:hAnsi="华文楷体" w:eastAsia="华文楷体"/>
          <w:sz w:val="24"/>
        </w:rPr>
        <w:t>风险提示: SaaS续费率、客户获客成本、家居地产周期、云资源成本和AI功能付费转化需关注。</w:t>
      </w:r>
    </w:p>
    <w:p>
      <w:pPr>
        <w:pStyle w:val="Heading2"/>
      </w:pPr>
      <w:r>
        <w:rPr>
          <w:rFonts w:ascii="华文楷体" w:hAnsi="华文楷体" w:eastAsia="华文楷体"/>
          <w:sz w:val="24"/>
        </w:rPr>
        <w:t>企业名称:杭州涂鸦科技有限公司（涂鸦智能）</w:t>
      </w:r>
    </w:p>
    <w:p>
      <w:pPr>
        <w:ind w:left="240"/>
      </w:pPr>
      <w:r>
        <w:rPr>
          <w:rFonts w:ascii="华文楷体" w:hAnsi="华文楷体" w:eastAsia="华文楷体"/>
          <w:sz w:val="24"/>
        </w:rPr>
        <w:t>推荐等级： 中高</w:t>
      </w:r>
    </w:p>
    <w:p>
      <w:pPr>
        <w:ind w:left="240"/>
      </w:pPr>
      <w:r>
        <w:rPr>
          <w:rFonts w:ascii="华文楷体" w:hAnsi="华文楷体" w:eastAsia="华文楷体"/>
          <w:sz w:val="24"/>
        </w:rPr>
        <w:t>所属赛道： IoT平台 / AIoT / 企业服务 / 出海</w:t>
      </w:r>
    </w:p>
    <w:p>
      <w:pPr>
        <w:ind w:left="240"/>
      </w:pPr>
      <w:r>
        <w:rPr>
          <w:rFonts w:ascii="华文楷体" w:hAnsi="华文楷体" w:eastAsia="华文楷体"/>
          <w:sz w:val="24"/>
        </w:rPr>
        <w:t>所在地区： 杭州</w:t>
      </w:r>
    </w:p>
    <w:p>
      <w:pPr>
        <w:ind w:left="240"/>
      </w:pPr>
      <w:r>
        <w:rPr>
          <w:rFonts w:ascii="华文楷体" w:hAnsi="华文楷体" w:eastAsia="华文楷体"/>
          <w:sz w:val="24"/>
        </w:rPr>
        <w:t>产业链位置： 中游平台 / 下游应用与场景</w:t>
      </w:r>
    </w:p>
    <w:p>
      <w:pPr>
        <w:ind w:left="240"/>
      </w:pPr>
      <w:r>
        <w:rPr>
          <w:rFonts w:ascii="华文楷体" w:hAnsi="华文楷体" w:eastAsia="华文楷体"/>
          <w:sz w:val="24"/>
        </w:rPr>
        <w:t>推荐方向： 跨境结算 / 流动资金 / 供应链金融 / 现金管理</w:t>
      </w:r>
    </w:p>
    <w:p>
      <w:r>
        <w:rPr>
          <w:rFonts w:ascii="华文楷体" w:hAnsi="华文楷体" w:eastAsia="华文楷体"/>
          <w:sz w:val="24"/>
        </w:rPr>
        <w:t>企业关键信息:</w:t>
      </w:r>
    </w:p>
    <w:p>
      <w:pPr>
        <w:ind w:left="240"/>
      </w:pPr>
      <w:r>
        <w:rPr>
          <w:rFonts w:ascii="华文楷体" w:hAnsi="华文楷体" w:eastAsia="华文楷体"/>
          <w:sz w:val="24"/>
        </w:rPr>
        <w:t>基本情况: 涂鸦智能为全球化IoT开发平台，服务智能家居、设备厂商、品牌商和开发者生态，具备平台服务、PaaS/SaaS、出海和硬件生态属性。</w:t>
      </w:r>
    </w:p>
    <w:p>
      <w:pPr>
        <w:ind w:left="240"/>
      </w:pPr>
      <w:r>
        <w:rPr>
          <w:rFonts w:ascii="华文楷体" w:hAnsi="华文楷体" w:eastAsia="华文楷体"/>
          <w:sz w:val="24"/>
        </w:rPr>
        <w:t>高层与团队背景: 公开资料显示创始团队具有互联网和技术产品背景，具体教育、导师和核心高管履历待核实。</w:t>
      </w:r>
    </w:p>
    <w:p>
      <w:pPr>
        <w:ind w:left="240"/>
      </w:pPr>
      <w:r>
        <w:rPr>
          <w:rFonts w:ascii="华文楷体" w:hAnsi="华文楷体" w:eastAsia="华文楷体"/>
          <w:sz w:val="24"/>
        </w:rPr>
        <w:t>银行关注点: 企业连接大量硬件厂商、品牌商和海外渠道，适合围绕跨境结算、供应链、生态商户和现金管理深耕。</w:t>
      </w:r>
    </w:p>
    <w:p>
      <w:r>
        <w:rPr>
          <w:rFonts w:ascii="华文楷体" w:hAnsi="华文楷体" w:eastAsia="华文楷体"/>
          <w:sz w:val="24"/>
        </w:rPr>
        <w:t>推荐理由:</w:t>
      </w:r>
    </w:p>
    <w:p>
      <w:pPr>
        <w:ind w:left="240"/>
      </w:pPr>
      <w:r>
        <w:rPr>
          <w:rFonts w:ascii="华文楷体" w:hAnsi="华文楷体" w:eastAsia="华文楷体"/>
          <w:sz w:val="24"/>
        </w:rPr>
        <w:t>AIoT和智能终端是杭州“AI+制造”和智能3C消费新供给的重要交叉点。</w:t>
      </w:r>
    </w:p>
    <w:p>
      <w:pPr>
        <w:ind w:left="240"/>
      </w:pPr>
      <w:r>
        <w:rPr>
          <w:rFonts w:ascii="华文楷体" w:hAnsi="华文楷体" w:eastAsia="华文楷体"/>
          <w:sz w:val="24"/>
        </w:rPr>
        <w:t>平台型业务连接开发者、设备商、品牌和海外客户，生态金融空间较大。</w:t>
      </w:r>
    </w:p>
    <w:p>
      <w:pPr>
        <w:ind w:left="240"/>
      </w:pPr>
      <w:r>
        <w:rPr>
          <w:rFonts w:ascii="华文楷体" w:hAnsi="华文楷体" w:eastAsia="华文楷体"/>
          <w:sz w:val="24"/>
        </w:rPr>
        <w:t>设备智能化会增加云服务、数据服务、认证测试和海外收款需求。</w:t>
      </w:r>
    </w:p>
    <w:p>
      <w:r>
        <w:rPr>
          <w:rFonts w:ascii="华文楷体" w:hAnsi="华文楷体" w:eastAsia="华文楷体"/>
          <w:sz w:val="24"/>
        </w:rPr>
        <w:t>银行展业机会: 出海订单、海外渠道、硬件供应链和开发者生态产生跨境收付、汇率避险、订单融资、供应商付款和平台结算需求。可从跨境支付结算、平安避险、订单融资、付融通、数字财资切入。</w:t>
      </w:r>
    </w:p>
    <w:p>
      <w:r>
        <w:rPr>
          <w:rFonts w:ascii="华文楷体" w:hAnsi="华文楷体" w:eastAsia="华文楷体"/>
          <w:sz w:val="24"/>
        </w:rPr>
        <w:t>推荐产品组合: 建议以跨境支付结算和平安避险作为主推产品，解决海外客户收款、汇率波动和全球资金管理；配套订单融资、付融通、数字财资，用于硬件供应链和平台生态资金周转。额度、期限、费率待沟通。</w:t>
      </w:r>
    </w:p>
    <w:p>
      <w:r>
        <w:rPr>
          <w:rFonts w:ascii="华文楷体" w:hAnsi="华文楷体" w:eastAsia="华文楷体"/>
          <w:sz w:val="24"/>
        </w:rPr>
        <w:t>客户经理切入话术: “智能终端和AIoT出海会同时带来海外回款、汇率波动和供应链账期，我们可以先做跨境结算加避险，再延伸到订单融资和生态商户服务。”</w:t>
      </w:r>
    </w:p>
    <w:p>
      <w:r>
        <w:rPr>
          <w:rFonts w:ascii="华文楷体" w:hAnsi="华文楷体" w:eastAsia="华文楷体"/>
          <w:sz w:val="24"/>
        </w:rPr>
        <w:t>风险提示: 海外需求波动、硬件库存、平台竞争、数据安全、海外合规和汇率风险需关注。</w:t>
      </w:r>
    </w:p>
    <w:p>
      <w:pPr>
        <w:pStyle w:val="Heading2"/>
      </w:pPr>
      <w:r>
        <w:rPr>
          <w:rFonts w:ascii="华文楷体" w:hAnsi="华文楷体" w:eastAsia="华文楷体"/>
          <w:sz w:val="24"/>
        </w:rPr>
        <w:t>企业名称:XTransfer（杭州）</w:t>
      </w:r>
    </w:p>
    <w:p>
      <w:pPr>
        <w:ind w:left="240"/>
      </w:pPr>
      <w:r>
        <w:rPr>
          <w:rFonts w:ascii="华文楷体" w:hAnsi="华文楷体" w:eastAsia="华文楷体"/>
          <w:sz w:val="24"/>
        </w:rPr>
        <w:t>推荐等级： 高</w:t>
      </w:r>
    </w:p>
    <w:p>
      <w:pPr>
        <w:ind w:left="240"/>
      </w:pPr>
      <w:r>
        <w:rPr>
          <w:rFonts w:ascii="华文楷体" w:hAnsi="华文楷体" w:eastAsia="华文楷体"/>
          <w:sz w:val="24"/>
        </w:rPr>
        <w:t>所属赛道： 跨境支付 / B2B数字贸易 / 金融科技</w:t>
      </w:r>
    </w:p>
    <w:p>
      <w:pPr>
        <w:ind w:left="240"/>
      </w:pPr>
      <w:r>
        <w:rPr>
          <w:rFonts w:ascii="华文楷体" w:hAnsi="华文楷体" w:eastAsia="华文楷体"/>
          <w:sz w:val="24"/>
        </w:rPr>
        <w:t>所在地区： 杭州</w:t>
      </w:r>
    </w:p>
    <w:p>
      <w:pPr>
        <w:ind w:left="240"/>
      </w:pPr>
      <w:r>
        <w:rPr>
          <w:rFonts w:ascii="华文楷体" w:hAnsi="华文楷体" w:eastAsia="华文楷体"/>
          <w:sz w:val="24"/>
        </w:rPr>
        <w:t>产业链位置： 生态服务商 / 下游交易基础设施</w:t>
      </w:r>
    </w:p>
    <w:p>
      <w:pPr>
        <w:ind w:left="240"/>
      </w:pPr>
      <w:r>
        <w:rPr>
          <w:rFonts w:ascii="华文楷体" w:hAnsi="华文楷体" w:eastAsia="华文楷体"/>
          <w:sz w:val="24"/>
        </w:rPr>
        <w:t>推荐方向： 跨境结算 / 生态金融 / 资金管理 / 综合金融</w:t>
      </w:r>
    </w:p>
    <w:p>
      <w:r>
        <w:rPr>
          <w:rFonts w:ascii="华文楷体" w:hAnsi="华文楷体" w:eastAsia="华文楷体"/>
          <w:sz w:val="24"/>
        </w:rPr>
        <w:t>企业关键信息:</w:t>
      </w:r>
    </w:p>
    <w:p>
      <w:pPr>
        <w:ind w:left="240"/>
      </w:pPr>
      <w:r>
        <w:rPr>
          <w:rFonts w:ascii="华文楷体" w:hAnsi="华文楷体" w:eastAsia="华文楷体"/>
          <w:sz w:val="24"/>
        </w:rPr>
        <w:t>基本情况: XTransfer为B2B跨境贸易支付平台，服务外贸和跨境电商中小企业，公开资料显示其团队具有阿里、蚂蚁等产业资源背景，正在推进资本市场相关进程。</w:t>
      </w:r>
    </w:p>
    <w:p>
      <w:pPr>
        <w:ind w:left="240"/>
      </w:pPr>
      <w:r>
        <w:rPr>
          <w:rFonts w:ascii="华文楷体" w:hAnsi="华文楷体" w:eastAsia="华文楷体"/>
          <w:sz w:val="24"/>
        </w:rPr>
        <w:t>高层与团队背景: 公开资料显示创始人邓国标等核心成员具有阿里巴巴、蚂蚁及跨境支付/风控相关经验；具体学校、导师信息待核实。</w:t>
      </w:r>
    </w:p>
    <w:p>
      <w:pPr>
        <w:ind w:left="240"/>
      </w:pPr>
      <w:r>
        <w:rPr>
          <w:rFonts w:ascii="华文楷体" w:hAnsi="华文楷体" w:eastAsia="华文楷体"/>
          <w:sz w:val="24"/>
        </w:rPr>
        <w:t>银行关注点: 平台具备中小外贸客户入口、交易数据、风控模型和跨境资金流，可与银行形成账户、结算、融资和生态共建合作。</w:t>
      </w:r>
    </w:p>
    <w:p>
      <w:r>
        <w:rPr>
          <w:rFonts w:ascii="华文楷体" w:hAnsi="华文楷体" w:eastAsia="华文楷体"/>
          <w:sz w:val="24"/>
        </w:rPr>
        <w:t>推荐理由:</w:t>
      </w:r>
    </w:p>
    <w:p>
      <w:pPr>
        <w:ind w:left="240"/>
      </w:pPr>
      <w:r>
        <w:rPr>
          <w:rFonts w:ascii="华文楷体" w:hAnsi="华文楷体" w:eastAsia="华文楷体"/>
          <w:sz w:val="24"/>
        </w:rPr>
        <w:t>浙江跨境电商、产业带出海和数字贸易需求持续旺盛，XTransfer位于跨境收款和风控基础设施环节。</w:t>
      </w:r>
    </w:p>
    <w:p>
      <w:pPr>
        <w:ind w:left="240"/>
      </w:pPr>
      <w:r>
        <w:rPr>
          <w:rFonts w:ascii="华文楷体" w:hAnsi="华文楷体" w:eastAsia="华文楷体"/>
          <w:sz w:val="24"/>
        </w:rPr>
        <w:t>AI工具出海、SaaS出海和B2B外贸数字化会增加小微企业跨境收款、结汇、融资和风险管理需求。</w:t>
      </w:r>
    </w:p>
    <w:p>
      <w:pPr>
        <w:ind w:left="240"/>
      </w:pPr>
      <w:r>
        <w:rPr>
          <w:rFonts w:ascii="华文楷体" w:hAnsi="华文楷体" w:eastAsia="华文楷体"/>
          <w:sz w:val="24"/>
        </w:rPr>
        <w:t>平台客户分散且交易高频，适合银行批量化获客和场景化金融合作。</w:t>
      </w:r>
    </w:p>
    <w:p>
      <w:r>
        <w:rPr>
          <w:rFonts w:ascii="华文楷体" w:hAnsi="华文楷体" w:eastAsia="华文楷体"/>
          <w:sz w:val="24"/>
        </w:rPr>
        <w:t>银行展业机会: 跨境收款、外币存款、汇率避险、交易数据授信、供应链融资和资金归集是核心切口。可探索跨境支付结算、跨境资金管理、人民币国际证+福费廷、平安避险、平台数字贷和普惠金融场景化方案。</w:t>
      </w:r>
    </w:p>
    <w:p>
      <w:r>
        <w:rPr>
          <w:rFonts w:ascii="华文楷体" w:hAnsi="华文楷体" w:eastAsia="华文楷体"/>
          <w:sz w:val="24"/>
        </w:rPr>
        <w:t>推荐产品组合: 建议以跨境支付结算和跨境资金管理作为主推产品，服务平台和中小外贸客户的收付款、结汇和资金归集；配套平安避险、人民币国际证+福费廷、平台数字贷，用于降低汇率风险和支持交易融资。额度、期限、费率待沟通。</w:t>
      </w:r>
    </w:p>
    <w:p>
      <w:r>
        <w:rPr>
          <w:rFonts w:ascii="华文楷体" w:hAnsi="华文楷体" w:eastAsia="华文楷体"/>
          <w:sz w:val="24"/>
        </w:rPr>
        <w:t>客户经理切入话术: “浙江产业带出海客户越来越多，我们希望围绕贵平台客户的收款、结汇、汇率避险和小额融资，做一套银行+平台的联合服务方案。”</w:t>
      </w:r>
    </w:p>
    <w:p>
      <w:r>
        <w:rPr>
          <w:rFonts w:ascii="华文楷体" w:hAnsi="华文楷体" w:eastAsia="华文楷体"/>
          <w:sz w:val="24"/>
        </w:rPr>
        <w:t>风险提示: 支付牌照与跨境合规、反洗钱、海外监管、客户真实性、汇率波动和资本市场进度需关注。</w:t>
      </w:r>
    </w:p>
    <w:p>
      <w:pPr>
        <w:pStyle w:val="Heading1"/>
      </w:pPr>
      <w:r>
        <w:rPr>
          <w:rFonts w:ascii="华文楷体" w:hAnsi="华文楷体" w:eastAsia="华文楷体"/>
          <w:sz w:val="24"/>
        </w:rPr>
        <w:t>四、客户经理行动建议</w:t>
      </w:r>
    </w:p>
    <w:p>
      <w:r>
        <w:rPr>
          <w:rFonts w:ascii="华文楷体" w:hAnsi="华文楷体" w:eastAsia="华文楷体"/>
          <w:sz w:val="24"/>
        </w:rPr>
        <w:t>1. 今日优先拜访阿里云计算有限公司和杭州深度求索人工智能基础技术研究有限公司，围绕Token调用、云资源预付、开发者生态结算和技术团队代发，准备数字财资、资产池、短贷、普惠金融科创贷和平安薪方案。</w:t>
      </w:r>
    </w:p>
    <w:p>
      <w:r>
        <w:rPr>
          <w:rFonts w:ascii="华文楷体" w:hAnsi="华文楷体" w:eastAsia="华文楷体"/>
          <w:sz w:val="24"/>
        </w:rPr>
        <w:t>2. 本周跟进网易（杭州）网络有限公司，切入游戏出海、AI内容生产、广告投放付款、供应商票据和员工代发场景，准备跨境支付结算、平安避险、商票e贴、数字财资和平安薪方案。</w:t>
      </w:r>
    </w:p>
    <w:p>
      <w:r>
        <w:rPr>
          <w:rFonts w:ascii="华文楷体" w:hAnsi="华文楷体" w:eastAsia="华文楷体"/>
          <w:sz w:val="24"/>
        </w:rPr>
        <w:t>3. 对群核科技、涂鸦智能等杭州AI SaaS/AIoT企业做一轮扫客，重点询问SaaS续费率、模型API成本、云资源预付、客户账期和海外收款，准备科创贷、短贷、慧收款、付融通、平台数字贷方案。</w:t>
      </w:r>
    </w:p>
    <w:p>
      <w:r>
        <w:rPr>
          <w:rFonts w:ascii="华文楷体" w:hAnsi="华文楷体" w:eastAsia="华文楷体"/>
          <w:sz w:val="24"/>
        </w:rPr>
        <w:t>4. 对XTransfer及义乌、宁波、杭州跨境数字贸易服务商做生态拜访，围绕跨境收款、外币资金、汇率避险和交易数据授信，联动跨境产品经理设计联合营销方案。</w:t>
      </w:r>
    </w:p>
    <w:p>
      <w:r>
        <w:rPr>
          <w:rFonts w:ascii="华文楷体" w:hAnsi="华文楷体" w:eastAsia="华文楷体"/>
          <w:sz w:val="24"/>
        </w:rPr>
        <w:t>5. 内部同步建立“AI Token消费生态”客户清单，按上游算力/云、中游模型/平台、下游SaaS/电商/游戏/跨境应用三层分组，先从已有授信客户和代发客户中筛选可二次经营对象。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