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1F3D0"/>
  <w:body>
    <w:p w:rsidR="00911283" w:rsidRDefault="00240CBF">
      <w:pPr>
        <w:pStyle w:val="a7"/>
      </w:pPr>
      <w:r>
        <w:rPr>
          <w:rFonts w:hint="eastAsia"/>
        </w:rPr>
        <w:t>过热蒸汽温度</w:t>
      </w:r>
      <w:r>
        <w:rPr>
          <w:rFonts w:hint="eastAsia"/>
        </w:rPr>
        <w:t>PID</w:t>
      </w:r>
      <w:r>
        <w:rPr>
          <w:rFonts w:hint="eastAsia"/>
        </w:rPr>
        <w:t>控制器参数的</w:t>
      </w:r>
      <w:r>
        <w:rPr>
          <w:rFonts w:hint="eastAsia"/>
        </w:rPr>
        <w:t>RL</w:t>
      </w:r>
      <w:r>
        <w:rPr>
          <w:rFonts w:hint="eastAsia"/>
        </w:rPr>
        <w:t>整定方法</w:t>
      </w:r>
    </w:p>
    <w:p w:rsidR="00911283" w:rsidRDefault="00240CBF">
      <w:r>
        <w:rPr>
          <w:rStyle w:val="a9"/>
          <w:rFonts w:hint="eastAsia"/>
        </w:rPr>
        <w:t>摘要：</w:t>
      </w:r>
      <w:r>
        <w:rPr>
          <w:rFonts w:hint="eastAsia"/>
        </w:rPr>
        <w:t>由于负荷频繁而广泛的变化带来的未知干扰以及对效率和安全的严格控制要求，过热蒸汽温度</w:t>
      </w:r>
      <w:r>
        <w:rPr>
          <w:rFonts w:hint="eastAsia"/>
        </w:rPr>
        <w:t>(SST)</w:t>
      </w:r>
      <w:r>
        <w:rPr>
          <w:rFonts w:hint="eastAsia"/>
        </w:rPr>
        <w:t>的控制越来越具有挑战性。随着可再生能源的普及以及其输出过程的不确定性，这种情况变得更加严重。为此，本文描述了</w:t>
      </w:r>
      <w:r>
        <w:t>SST</w:t>
      </w:r>
      <w:r>
        <w:rPr>
          <w:rFonts w:hint="eastAsia"/>
        </w:rPr>
        <w:t>的工作原理，并根据开环阶跃响应数据识别了</w:t>
      </w:r>
      <w:r>
        <w:rPr>
          <w:rFonts w:hint="eastAsia"/>
        </w:rPr>
        <w:t>SST</w:t>
      </w:r>
      <w:r>
        <w:rPr>
          <w:rFonts w:hint="eastAsia"/>
        </w:rPr>
        <w:t>的模型。针对系统对高阶动力学扰动响应缓慢的问题，</w:t>
      </w:r>
      <w:r>
        <w:t>我们采用了深度强化学习算法来学习有效的自适应增益调整策略，因为它不需要任何关于</w:t>
      </w:r>
      <w:r>
        <w:rPr>
          <w:rFonts w:hint="eastAsia"/>
        </w:rPr>
        <w:t>电厂热力模型</w:t>
      </w:r>
      <w:r>
        <w:t>的先验知识，</w:t>
      </w:r>
      <w:r>
        <w:rPr>
          <w:rFonts w:hint="eastAsia"/>
        </w:rPr>
        <w:t>提出了一种改进的</w:t>
      </w:r>
      <w:proofErr w:type="gramStart"/>
      <w:r>
        <w:rPr>
          <w:rFonts w:hint="eastAsia"/>
        </w:rPr>
        <w:t>自抗扰</w:t>
      </w:r>
      <w:proofErr w:type="gramEnd"/>
      <w:r>
        <w:rPr>
          <w:rFonts w:hint="eastAsia"/>
        </w:rPr>
        <w:t>控制器，以提高控制性能。从理论上推导了</w:t>
      </w:r>
      <w:proofErr w:type="gramStart"/>
      <w:r>
        <w:rPr>
          <w:rFonts w:hint="eastAsia"/>
        </w:rPr>
        <w:t>修正自抗扰</w:t>
      </w:r>
      <w:proofErr w:type="gramEnd"/>
      <w:r>
        <w:rPr>
          <w:rFonts w:hint="eastAsia"/>
        </w:rPr>
        <w:t>控制器的稳定性分析，完善了</w:t>
      </w:r>
      <w:proofErr w:type="gramStart"/>
      <w:r>
        <w:rPr>
          <w:rFonts w:hint="eastAsia"/>
        </w:rPr>
        <w:t>修正自抗扰</w:t>
      </w:r>
      <w:proofErr w:type="gramEnd"/>
      <w:r>
        <w:rPr>
          <w:rFonts w:hint="eastAsia"/>
        </w:rPr>
        <w:t>控制器的理论。然后，总结了一种实用的</w:t>
      </w:r>
      <w:proofErr w:type="gramStart"/>
      <w:r>
        <w:rPr>
          <w:rFonts w:hint="eastAsia"/>
        </w:rPr>
        <w:t>自抗扰</w:t>
      </w:r>
      <w:proofErr w:type="gramEnd"/>
      <w:r>
        <w:rPr>
          <w:rFonts w:hint="eastAsia"/>
        </w:rPr>
        <w:t>控制器调整程序，使现场工程师可以很容易地理解。仿真实例表明，改进的</w:t>
      </w:r>
      <w:proofErr w:type="gramStart"/>
      <w:r>
        <w:rPr>
          <w:rFonts w:hint="eastAsia"/>
        </w:rPr>
        <w:t>自抗扰</w:t>
      </w:r>
      <w:proofErr w:type="gramEnd"/>
      <w:r>
        <w:rPr>
          <w:rFonts w:hint="eastAsia"/>
        </w:rPr>
        <w:t>控制器在保持良好鲁棒性的同时，能够提高跟踪性能和抗干扰性能，并且针对</w:t>
      </w:r>
      <w:r>
        <w:rPr>
          <w:rFonts w:hint="eastAsia"/>
        </w:rPr>
        <w:t>SST</w:t>
      </w:r>
      <w:r>
        <w:rPr>
          <w:rFonts w:hint="eastAsia"/>
        </w:rPr>
        <w:t>控制系统和基于所辨识模型进行了仿真，初步验证了控制性能。本文提出的</w:t>
      </w:r>
      <w:proofErr w:type="gramStart"/>
      <w:r>
        <w:rPr>
          <w:rFonts w:hint="eastAsia"/>
        </w:rPr>
        <w:t>自抗扰</w:t>
      </w:r>
      <w:proofErr w:type="gramEnd"/>
      <w:r>
        <w:rPr>
          <w:rFonts w:hint="eastAsia"/>
        </w:rPr>
        <w:t>控制系统方法的可行性，预示着随着可再生能源并网需求的不断增加，</w:t>
      </w:r>
      <w:proofErr w:type="gramStart"/>
      <w:r>
        <w:rPr>
          <w:rFonts w:hint="eastAsia"/>
        </w:rPr>
        <w:t>自抗扰控制</w:t>
      </w:r>
      <w:proofErr w:type="gramEnd"/>
      <w:r>
        <w:rPr>
          <w:rFonts w:hint="eastAsia"/>
        </w:rPr>
        <w:t>可在电力行业中得到广泛应用。</w:t>
      </w:r>
    </w:p>
    <w:p w:rsidR="00911283" w:rsidRDefault="00240CBF">
      <w:pPr>
        <w:pStyle w:val="1"/>
        <w:numPr>
          <w:ilvl w:val="0"/>
          <w:numId w:val="1"/>
        </w:numPr>
      </w:pPr>
      <w:r>
        <w:rPr>
          <w:rFonts w:hint="eastAsia"/>
        </w:rPr>
        <w:t>引言</w:t>
      </w:r>
    </w:p>
    <w:p w:rsidR="00911283" w:rsidRDefault="00240CBF">
      <w:pPr>
        <w:ind w:firstLineChars="200" w:firstLine="420"/>
      </w:pPr>
      <w:r>
        <w:t>随着电力需求的不断增长和可再生能源在电力市场</w:t>
      </w:r>
      <w:r>
        <w:rPr>
          <w:rFonts w:hint="eastAsia"/>
        </w:rPr>
        <w:t>占比的不断扩大</w:t>
      </w:r>
      <w:r>
        <w:t>，电厂</w:t>
      </w:r>
      <w:r>
        <w:rPr>
          <w:rFonts w:hint="eastAsia"/>
        </w:rPr>
        <w:t>的过程变量控制</w:t>
      </w:r>
      <w:r>
        <w:t>一直是重要</w:t>
      </w:r>
      <w:r>
        <w:rPr>
          <w:rFonts w:hint="eastAsia"/>
        </w:rPr>
        <w:t>且</w:t>
      </w:r>
      <w:r>
        <w:t>具有挑战性的问题。</w:t>
      </w:r>
      <w:r>
        <w:rPr>
          <w:rFonts w:hint="eastAsia"/>
        </w:rPr>
        <w:t>根据预测，全球电力装机总容量将以约</w:t>
      </w:r>
      <w:r>
        <w:rPr>
          <w:rFonts w:hint="eastAsia"/>
        </w:rPr>
        <w:t>2.2%</w:t>
      </w:r>
      <w:r>
        <w:rPr>
          <w:rFonts w:hint="eastAsia"/>
        </w:rPr>
        <w:t>的速度增长至</w:t>
      </w:r>
      <w:r>
        <w:rPr>
          <w:rFonts w:hint="eastAsia"/>
        </w:rPr>
        <w:t>2040</w:t>
      </w:r>
      <w:r>
        <w:rPr>
          <w:rFonts w:hint="eastAsia"/>
        </w:rPr>
        <w:t>年。为了缓解电力行业对化石能源的依赖，使用清洁能源如太阳能、风能和潮汐能成为了人们的选择。预计到</w:t>
      </w:r>
      <w:r>
        <w:rPr>
          <w:rFonts w:hint="eastAsia"/>
        </w:rPr>
        <w:t>2040</w:t>
      </w:r>
      <w:r>
        <w:rPr>
          <w:rFonts w:hint="eastAsia"/>
        </w:rPr>
        <w:t>年可再生能源</w:t>
      </w:r>
      <w:proofErr w:type="gramStart"/>
      <w:r>
        <w:rPr>
          <w:rFonts w:hint="eastAsia"/>
        </w:rPr>
        <w:t>发电占</w:t>
      </w:r>
      <w:proofErr w:type="gramEnd"/>
      <w:r>
        <w:rPr>
          <w:rFonts w:hint="eastAsia"/>
        </w:rPr>
        <w:t>比将达到</w:t>
      </w:r>
      <w:r>
        <w:rPr>
          <w:rFonts w:hint="eastAsia"/>
        </w:rPr>
        <w:t>25%</w:t>
      </w:r>
      <w:r>
        <w:rPr>
          <w:rFonts w:hint="eastAsia"/>
        </w:rPr>
        <w:t>。然而可再生能源的发电特性受环境影响因素较多，给并网带来了一定的困难。解决这个问题的一种方法是提高火电厂对自发电控制（</w:t>
      </w:r>
      <w:r>
        <w:rPr>
          <w:rFonts w:hint="eastAsia"/>
        </w:rPr>
        <w:t>AGC</w:t>
      </w:r>
      <w:r>
        <w:rPr>
          <w:rFonts w:hint="eastAsia"/>
        </w:rPr>
        <w:t>）系统的响应速度。为了配合新能源系统的发电特性，火电厂的负荷需要频繁变化，这就对过热蒸汽温度（</w:t>
      </w:r>
      <w:proofErr w:type="spellStart"/>
      <w:r>
        <w:rPr>
          <w:rFonts w:hint="eastAsia"/>
        </w:rPr>
        <w:t>sst</w:t>
      </w:r>
      <w:proofErr w:type="spellEnd"/>
      <w:r>
        <w:rPr>
          <w:rFonts w:hint="eastAsia"/>
        </w:rPr>
        <w:t>）在安全范围内的有效控制提出挑战。</w:t>
      </w:r>
      <w:r>
        <w:rPr>
          <w:rFonts w:hint="eastAsia"/>
        </w:rPr>
        <w:t>SST</w:t>
      </w:r>
      <w:r>
        <w:rPr>
          <w:rFonts w:hint="eastAsia"/>
        </w:rPr>
        <w:t>是电厂机组运行过程中安全和经济性的重要指标。当过热蒸汽超过一定温度时会对机组造成不可逆的损伤甚至停机，低于一定温度则会降低机组的热效能。一般认为其温度不应超过设定值的正负</w:t>
      </w:r>
      <w:r>
        <w:rPr>
          <w:rFonts w:hint="eastAsia"/>
        </w:rPr>
        <w:t>5</w:t>
      </w:r>
      <w:r>
        <w:rPr>
          <w:rFonts w:hint="eastAsia"/>
        </w:rPr>
        <w:t>摄氏度。一个性能强大的控制器可以使电网融入更多的可再生能源。</w:t>
      </w:r>
    </w:p>
    <w:p w:rsidR="00911283" w:rsidRDefault="00240CBF">
      <w:pPr>
        <w:ind w:firstLineChars="200" w:firstLine="420"/>
      </w:pPr>
      <w:r>
        <w:rPr>
          <w:rFonts w:hint="eastAsia"/>
        </w:rPr>
        <w:t>面对</w:t>
      </w:r>
      <w:r>
        <w:rPr>
          <w:rFonts w:hint="eastAsia"/>
        </w:rPr>
        <w:t>SST</w:t>
      </w:r>
      <w:r>
        <w:rPr>
          <w:rFonts w:hint="eastAsia"/>
        </w:rPr>
        <w:t>的高阶动态、非线性和多源干扰等带来的控制困难，传统的固定参数的</w:t>
      </w:r>
      <w:r>
        <w:rPr>
          <w:rFonts w:hint="eastAsia"/>
        </w:rPr>
        <w:t>PID</w:t>
      </w:r>
      <w:r>
        <w:rPr>
          <w:rFonts w:hint="eastAsia"/>
        </w:rPr>
        <w:t>控制策略不能保证较好的控制性能，特别是在大范围负载调节的情况下。许多改进和先进的控制策略已经被开发来处理上述困难。例如神经网络</w:t>
      </w:r>
      <w:r>
        <w:rPr>
          <w:rFonts w:hint="eastAsia"/>
        </w:rPr>
        <w:t>PID</w:t>
      </w:r>
      <w:r>
        <w:rPr>
          <w:rFonts w:hint="eastAsia"/>
        </w:rPr>
        <w:t>，内模控制，自适应</w:t>
      </w:r>
      <w:r>
        <w:rPr>
          <w:rFonts w:hint="eastAsia"/>
        </w:rPr>
        <w:t>PID</w:t>
      </w:r>
      <w:r>
        <w:rPr>
          <w:rFonts w:hint="eastAsia"/>
        </w:rPr>
        <w:t>，分数阶</w:t>
      </w:r>
      <w:r>
        <w:rPr>
          <w:rFonts w:hint="eastAsia"/>
        </w:rPr>
        <w:t>PID</w:t>
      </w:r>
      <w:r>
        <w:rPr>
          <w:rFonts w:hint="eastAsia"/>
        </w:rPr>
        <w:t>。高级控制策略例如多变量约束，模糊逻辑，动态矩阵和预测前馈也被用于提高控制性能。但是这些方法只在模拟过程中有作用，很少用于实际的发电过程。主要原因有：</w:t>
      </w:r>
    </w:p>
    <w:p w:rsidR="00911283" w:rsidRDefault="00240CBF">
      <w:pPr>
        <w:pStyle w:val="aa"/>
        <w:numPr>
          <w:ilvl w:val="0"/>
          <w:numId w:val="2"/>
        </w:numPr>
        <w:ind w:firstLineChars="0"/>
      </w:pPr>
      <w:r>
        <w:rPr>
          <w:rFonts w:hint="eastAsia"/>
        </w:rPr>
        <w:t>这些控制方法需要复杂的计算，一般的分布式控制系统难以实现。</w:t>
      </w:r>
    </w:p>
    <w:p w:rsidR="00911283" w:rsidRDefault="00240CBF">
      <w:pPr>
        <w:pStyle w:val="aa"/>
        <w:numPr>
          <w:ilvl w:val="0"/>
          <w:numId w:val="2"/>
        </w:numPr>
        <w:ind w:firstLineChars="0"/>
      </w:pPr>
      <w:r>
        <w:rPr>
          <w:rFonts w:hint="eastAsia"/>
        </w:rPr>
        <w:t>一些控制策略对过热蒸汽模型的精确性依赖程度较高，但是精确的模型往往难以实现，且会随着环境和工况而变化。</w:t>
      </w:r>
    </w:p>
    <w:p w:rsidR="00911283" w:rsidRDefault="00240CBF">
      <w:pPr>
        <w:ind w:firstLineChars="200" w:firstLine="420"/>
      </w:pPr>
      <w:proofErr w:type="gramStart"/>
      <w:r>
        <w:rPr>
          <w:rFonts w:hint="eastAsia"/>
        </w:rPr>
        <w:t>自抗扰控制</w:t>
      </w:r>
      <w:proofErr w:type="gramEnd"/>
      <w:r>
        <w:rPr>
          <w:rFonts w:hint="eastAsia"/>
        </w:rPr>
        <w:t>有着良好的抗干扰性和非线性适应性，且具有不依赖被控对象的数学模型和易于在</w:t>
      </w:r>
      <w:r>
        <w:rPr>
          <w:rFonts w:hint="eastAsia"/>
        </w:rPr>
        <w:t>DCS</w:t>
      </w:r>
      <w:r>
        <w:rPr>
          <w:rFonts w:hint="eastAsia"/>
        </w:rPr>
        <w:t>中实现的特点，故受到很多关注。且已经成功应用于动作系统，直流转换系统以及化学和温度控制过程。本文实现了应用于复杂对象模型的属于自适应控制的强化学习方法，对控制器的</w:t>
      </w:r>
      <w:r>
        <w:rPr>
          <w:rFonts w:hint="eastAsia"/>
        </w:rPr>
        <w:t>PID</w:t>
      </w:r>
      <w:r>
        <w:rPr>
          <w:rFonts w:hint="eastAsia"/>
        </w:rPr>
        <w:t>参数进行了动态控制。</w:t>
      </w:r>
    </w:p>
    <w:p w:rsidR="00911283" w:rsidRDefault="00240CBF">
      <w:pPr>
        <w:ind w:firstLineChars="200" w:firstLine="420"/>
      </w:pPr>
      <w:r>
        <w:rPr>
          <w:rFonts w:hint="eastAsia"/>
          <w:color w:val="FF0000"/>
        </w:rPr>
        <w:t>然而，</w:t>
      </w:r>
      <w:proofErr w:type="gramStart"/>
      <w:r>
        <w:rPr>
          <w:rFonts w:hint="eastAsia"/>
          <w:color w:val="FF0000"/>
        </w:rPr>
        <w:t>自抗扰</w:t>
      </w:r>
      <w:proofErr w:type="gramEnd"/>
      <w:r>
        <w:rPr>
          <w:rFonts w:hint="eastAsia"/>
          <w:color w:val="FF0000"/>
        </w:rPr>
        <w:t>控制系统处理高阶系统带来的困难的能力是有限的。具体而言，其局限性是</w:t>
      </w:r>
      <w:proofErr w:type="gramStart"/>
      <w:r>
        <w:rPr>
          <w:rFonts w:hint="eastAsia"/>
          <w:color w:val="FF0000"/>
        </w:rPr>
        <w:t>自抗扰控制</w:t>
      </w:r>
      <w:proofErr w:type="gramEnd"/>
      <w:r>
        <w:rPr>
          <w:rFonts w:hint="eastAsia"/>
          <w:color w:val="FF0000"/>
        </w:rPr>
        <w:t>策略虽然与传统控制策略相比具有抗干扰优势，但对高阶系统的设定点响应较慢，这一点将在第</w:t>
      </w:r>
      <w:r>
        <w:rPr>
          <w:rFonts w:hint="eastAsia"/>
          <w:color w:val="FF0000"/>
        </w:rPr>
        <w:t>4</w:t>
      </w:r>
      <w:r>
        <w:rPr>
          <w:rFonts w:hint="eastAsia"/>
          <w:color w:val="FF0000"/>
        </w:rPr>
        <w:t>节的数值模拟中得到证实。针对这些控制难题，提出了一种改进的</w:t>
      </w:r>
      <w:proofErr w:type="gramStart"/>
      <w:r>
        <w:rPr>
          <w:rFonts w:hint="eastAsia"/>
          <w:color w:val="FF0000"/>
        </w:rPr>
        <w:t>自抗扰控制</w:t>
      </w:r>
      <w:proofErr w:type="gramEnd"/>
      <w:r>
        <w:rPr>
          <w:rFonts w:hint="eastAsia"/>
          <w:color w:val="FF0000"/>
        </w:rPr>
        <w:t>(MADRC)</w:t>
      </w:r>
      <w:r>
        <w:rPr>
          <w:rFonts w:hint="eastAsia"/>
          <w:color w:val="FF0000"/>
        </w:rPr>
        <w:t>，并提出了</w:t>
      </w:r>
      <w:r>
        <w:rPr>
          <w:rFonts w:hint="eastAsia"/>
          <w:color w:val="FF0000"/>
        </w:rPr>
        <w:t>MADRC- pi</w:t>
      </w:r>
      <w:r>
        <w:rPr>
          <w:rFonts w:hint="eastAsia"/>
          <w:color w:val="FF0000"/>
        </w:rPr>
        <w:t>级联控制策略，以提高在役循环流化床机组</w:t>
      </w:r>
      <w:r>
        <w:rPr>
          <w:rFonts w:hint="eastAsia"/>
          <w:color w:val="FF0000"/>
        </w:rPr>
        <w:t>SST</w:t>
      </w:r>
      <w:r>
        <w:rPr>
          <w:rFonts w:hint="eastAsia"/>
          <w:color w:val="FF0000"/>
        </w:rPr>
        <w:t>的控</w:t>
      </w:r>
      <w:r>
        <w:rPr>
          <w:rFonts w:hint="eastAsia"/>
          <w:color w:val="FF0000"/>
        </w:rPr>
        <w:lastRenderedPageBreak/>
        <w:t>制性能。此外，本研究还以创新的方式获得了以下有趣的结果</w:t>
      </w:r>
      <w:r>
        <w:rPr>
          <w:rFonts w:hint="eastAsia"/>
          <w:color w:val="FF0000"/>
        </w:rPr>
        <w:t>:</w:t>
      </w:r>
    </w:p>
    <w:p w:rsidR="00911283" w:rsidRDefault="00240CBF">
      <w:pPr>
        <w:pStyle w:val="aa"/>
        <w:numPr>
          <w:ilvl w:val="0"/>
          <w:numId w:val="3"/>
        </w:numPr>
        <w:ind w:firstLineChars="0"/>
        <w:rPr>
          <w:color w:val="FF0000"/>
        </w:rPr>
      </w:pPr>
      <w:r>
        <w:rPr>
          <w:rFonts w:hint="eastAsia"/>
          <w:color w:val="FF0000"/>
        </w:rPr>
        <w:t>针对高阶动态所带来的控制困难，提出了一种自适应自适应控制算法，提高了系统的跟踪能力和抗干扰能力，具有良好的鲁棒性。</w:t>
      </w:r>
    </w:p>
    <w:p w:rsidR="00911283" w:rsidRDefault="00240CBF">
      <w:pPr>
        <w:pStyle w:val="aa"/>
        <w:numPr>
          <w:ilvl w:val="0"/>
          <w:numId w:val="3"/>
        </w:numPr>
        <w:ind w:firstLineChars="0"/>
        <w:rPr>
          <w:color w:val="FF0000"/>
        </w:rPr>
      </w:pPr>
      <w:r>
        <w:rPr>
          <w:rFonts w:hint="eastAsia"/>
          <w:color w:val="FF0000"/>
        </w:rPr>
        <w:t>对</w:t>
      </w:r>
      <w:r>
        <w:rPr>
          <w:rFonts w:hint="eastAsia"/>
          <w:color w:val="FF0000"/>
        </w:rPr>
        <w:t>MADRC</w:t>
      </w:r>
      <w:r>
        <w:rPr>
          <w:rFonts w:hint="eastAsia"/>
          <w:color w:val="FF0000"/>
        </w:rPr>
        <w:t>进行了稳定性分析。此外，本文还给出了一个参数的理论范围。</w:t>
      </w:r>
    </w:p>
    <w:p w:rsidR="00911283" w:rsidRDefault="00240CBF">
      <w:pPr>
        <w:pStyle w:val="aa"/>
        <w:numPr>
          <w:ilvl w:val="0"/>
          <w:numId w:val="3"/>
        </w:numPr>
        <w:ind w:firstLineChars="0"/>
        <w:rPr>
          <w:color w:val="FF0000"/>
        </w:rPr>
      </w:pPr>
      <w:r>
        <w:rPr>
          <w:rFonts w:hint="eastAsia"/>
          <w:color w:val="FF0000"/>
        </w:rPr>
        <w:t>通过分析自适应控制参数对控制性能的影响，总结了一种实用的自适应控制方法，并通过数值仿真验证了自适应控制的跟踪和抗干扰能力。</w:t>
      </w:r>
    </w:p>
    <w:p w:rsidR="00911283" w:rsidRDefault="00240CBF">
      <w:pPr>
        <w:pStyle w:val="aa"/>
        <w:numPr>
          <w:ilvl w:val="0"/>
          <w:numId w:val="3"/>
        </w:numPr>
        <w:ind w:firstLineChars="0"/>
        <w:rPr>
          <w:color w:val="FF0000"/>
        </w:rPr>
      </w:pPr>
      <w:r>
        <w:rPr>
          <w:rFonts w:hint="eastAsia"/>
          <w:color w:val="FF0000"/>
        </w:rPr>
        <w:t>基于</w:t>
      </w:r>
      <w:r>
        <w:rPr>
          <w:rFonts w:hint="eastAsia"/>
          <w:color w:val="FF0000"/>
        </w:rPr>
        <w:t>MADRC</w:t>
      </w:r>
      <w:r>
        <w:rPr>
          <w:rFonts w:hint="eastAsia"/>
          <w:color w:val="FF0000"/>
        </w:rPr>
        <w:t>的串级控制方法已成功应用于某循环流化床机组，运行数据证实了该方法降低温度偏差、扩大负荷调节范围的可行性。</w:t>
      </w:r>
    </w:p>
    <w:p w:rsidR="00911283" w:rsidRDefault="00240CBF">
      <w:pPr>
        <w:ind w:firstLineChars="200" w:firstLine="420"/>
        <w:rPr>
          <w:color w:val="FF0000"/>
        </w:rPr>
      </w:pPr>
      <w:r>
        <w:rPr>
          <w:rFonts w:hint="eastAsia"/>
          <w:color w:val="FF0000"/>
        </w:rPr>
        <w:t>本文的其余部分组织如下</w:t>
      </w:r>
      <w:r>
        <w:rPr>
          <w:rFonts w:hint="eastAsia"/>
          <w:color w:val="FF0000"/>
        </w:rPr>
        <w:t>:</w:t>
      </w:r>
      <w:r>
        <w:rPr>
          <w:rFonts w:hint="eastAsia"/>
          <w:color w:val="FF0000"/>
        </w:rPr>
        <w:t>下一节简要介绍</w:t>
      </w:r>
      <w:r>
        <w:rPr>
          <w:rFonts w:hint="eastAsia"/>
          <w:color w:val="FF0000"/>
        </w:rPr>
        <w:t>SST</w:t>
      </w:r>
      <w:r>
        <w:rPr>
          <w:rFonts w:hint="eastAsia"/>
          <w:color w:val="FF0000"/>
        </w:rPr>
        <w:t>控制系统，并根据开环实验数据识别出串级模型。第三节介绍了常规的</w:t>
      </w:r>
      <w:proofErr w:type="gramStart"/>
      <w:r>
        <w:rPr>
          <w:rFonts w:hint="eastAsia"/>
          <w:color w:val="FF0000"/>
        </w:rPr>
        <w:t>自抗扰</w:t>
      </w:r>
      <w:proofErr w:type="gramEnd"/>
      <w:r>
        <w:rPr>
          <w:rFonts w:hint="eastAsia"/>
          <w:color w:val="FF0000"/>
        </w:rPr>
        <w:t>控制器设计，随后介绍了提出的</w:t>
      </w:r>
      <w:proofErr w:type="gramStart"/>
      <w:r>
        <w:rPr>
          <w:rFonts w:hint="eastAsia"/>
          <w:color w:val="FF0000"/>
        </w:rPr>
        <w:t>自抗扰</w:t>
      </w:r>
      <w:proofErr w:type="gramEnd"/>
      <w:r>
        <w:rPr>
          <w:rFonts w:hint="eastAsia"/>
          <w:color w:val="FF0000"/>
        </w:rPr>
        <w:t>控制器，其中的稳定性分析从理论上推导。第四节给出了</w:t>
      </w:r>
      <w:r>
        <w:rPr>
          <w:rFonts w:hint="eastAsia"/>
          <w:color w:val="FF0000"/>
        </w:rPr>
        <w:t>MADRC</w:t>
      </w:r>
      <w:r>
        <w:rPr>
          <w:rFonts w:hint="eastAsia"/>
          <w:color w:val="FF0000"/>
        </w:rPr>
        <w:t>的实际调谐过程，并进行了仿真验证其控制性能。在第</w:t>
      </w:r>
      <w:r>
        <w:rPr>
          <w:rFonts w:hint="eastAsia"/>
          <w:color w:val="FF0000"/>
        </w:rPr>
        <w:t>5</w:t>
      </w:r>
      <w:r>
        <w:rPr>
          <w:rFonts w:hint="eastAsia"/>
          <w:color w:val="FF0000"/>
        </w:rPr>
        <w:t>节中，将基于</w:t>
      </w:r>
      <w:r>
        <w:rPr>
          <w:rFonts w:hint="eastAsia"/>
          <w:color w:val="FF0000"/>
        </w:rPr>
        <w:t>MADRC</w:t>
      </w:r>
      <w:r>
        <w:rPr>
          <w:rFonts w:hint="eastAsia"/>
          <w:color w:val="FF0000"/>
        </w:rPr>
        <w:t>的</w:t>
      </w:r>
      <w:r>
        <w:rPr>
          <w:rFonts w:hint="eastAsia"/>
          <w:color w:val="FF0000"/>
        </w:rPr>
        <w:t>SST</w:t>
      </w:r>
      <w:r>
        <w:rPr>
          <w:rFonts w:hint="eastAsia"/>
          <w:color w:val="FF0000"/>
        </w:rPr>
        <w:t>控制系统串级控制应用于运行中的</w:t>
      </w:r>
      <w:r>
        <w:rPr>
          <w:rFonts w:hint="eastAsia"/>
          <w:color w:val="FF0000"/>
        </w:rPr>
        <w:t>CFB</w:t>
      </w:r>
      <w:r>
        <w:rPr>
          <w:rFonts w:hint="eastAsia"/>
          <w:color w:val="FF0000"/>
        </w:rPr>
        <w:t>电厂，结果表明在降低温度偏差方面有显著改善。结论在第</w:t>
      </w:r>
      <w:r>
        <w:rPr>
          <w:rFonts w:hint="eastAsia"/>
          <w:color w:val="FF0000"/>
        </w:rPr>
        <w:t>6</w:t>
      </w:r>
      <w:r>
        <w:rPr>
          <w:rFonts w:hint="eastAsia"/>
          <w:color w:val="FF0000"/>
        </w:rPr>
        <w:t>节中得出。</w:t>
      </w:r>
    </w:p>
    <w:p w:rsidR="00911283" w:rsidRDefault="00240CBF">
      <w:pPr>
        <w:pStyle w:val="1"/>
        <w:numPr>
          <w:ilvl w:val="0"/>
          <w:numId w:val="1"/>
        </w:numPr>
      </w:pPr>
      <w:r>
        <w:rPr>
          <w:rFonts w:hint="eastAsia"/>
        </w:rPr>
        <w:t>用于本文中的</w:t>
      </w:r>
      <w:r>
        <w:rPr>
          <w:rFonts w:hint="eastAsia"/>
        </w:rPr>
        <w:t>SST</w:t>
      </w:r>
      <w:r>
        <w:rPr>
          <w:rFonts w:hint="eastAsia"/>
        </w:rPr>
        <w:t>模型</w:t>
      </w:r>
    </w:p>
    <w:p w:rsidR="00911283" w:rsidRDefault="00240CBF">
      <w:pPr>
        <w:pStyle w:val="2"/>
      </w:pPr>
      <w:r>
        <w:rPr>
          <w:rFonts w:hint="eastAsia"/>
        </w:rPr>
        <w:t>2.1</w:t>
      </w:r>
      <w:r>
        <w:rPr>
          <w:rFonts w:hint="eastAsia"/>
        </w:rPr>
        <w:t>．</w:t>
      </w:r>
      <w:r>
        <w:rPr>
          <w:rFonts w:hint="eastAsia"/>
        </w:rPr>
        <w:t>SST</w:t>
      </w:r>
      <w:r>
        <w:rPr>
          <w:rFonts w:hint="eastAsia"/>
        </w:rPr>
        <w:t>模型综述</w:t>
      </w:r>
    </w:p>
    <w:p w:rsidR="00911283" w:rsidRDefault="00240CBF">
      <w:pPr>
        <w:ind w:firstLineChars="200" w:firstLine="420"/>
      </w:pPr>
      <w:r>
        <w:rPr>
          <w:rFonts w:hint="eastAsia"/>
        </w:rPr>
        <w:t>电厂过热器蒸汽系统如图</w:t>
      </w:r>
      <w:r>
        <w:rPr>
          <w:rFonts w:hint="eastAsia"/>
        </w:rPr>
        <w:t>1</w:t>
      </w:r>
      <w:r>
        <w:rPr>
          <w:rFonts w:hint="eastAsia"/>
        </w:rPr>
        <w:t>所示。该系统包含</w:t>
      </w:r>
      <w:proofErr w:type="gramStart"/>
      <w:r>
        <w:rPr>
          <w:rFonts w:hint="eastAsia"/>
        </w:rPr>
        <w:t>两级减温装置</w:t>
      </w:r>
      <w:proofErr w:type="gramEnd"/>
      <w:r>
        <w:rPr>
          <w:rFonts w:hint="eastAsia"/>
        </w:rPr>
        <w:t>:</w:t>
      </w:r>
      <w:r>
        <w:rPr>
          <w:rFonts w:hint="eastAsia"/>
        </w:rPr>
        <w:t>一级减温器和二级减温器。水冷壁中的水变为蒸汽后经过减温器和过热器并且从</w:t>
      </w:r>
      <w:proofErr w:type="gramStart"/>
      <w:r>
        <w:rPr>
          <w:rFonts w:hint="eastAsia"/>
        </w:rPr>
        <w:t>从</w:t>
      </w:r>
      <w:proofErr w:type="gramEnd"/>
      <w:r>
        <w:rPr>
          <w:rFonts w:hint="eastAsia"/>
        </w:rPr>
        <w:t>烟气中获得热量。火电厂主要的汽温控制方法为水雾喷洒。冷却水来源是锅炉给水泵的中间部分。一级和二级减温器由串级回路控制，反馈回路为它们的进口温度和出口温度。将分布参数过热系统近似化为两个线性传递函数模型</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(s)</m:t>
        </m:r>
      </m:oMath>
      <w:r>
        <w:rPr>
          <w:rFonts w:hint="eastAsia"/>
        </w:rPr>
        <w:t>和</w:t>
      </w:r>
      <m:oMath>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(s)</m:t>
        </m:r>
      </m:oMath>
      <w:r>
        <w:rPr>
          <w:rFonts w:hint="eastAsia"/>
        </w:rPr>
        <w:t>。内环传递函数</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(s)</m:t>
        </m:r>
      </m:oMath>
      <w:r>
        <w:rPr>
          <w:rFonts w:hint="eastAsia"/>
        </w:rPr>
        <w:t>表示过热器到二级减温器的过程。外环传递函数</w:t>
      </w:r>
      <m:oMath>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(s)</m:t>
        </m:r>
      </m:oMath>
      <w:r>
        <w:rPr>
          <w:rFonts w:hint="eastAsia"/>
        </w:rPr>
        <w:t>表示二级减温器到出口温度的过程。γ是二级减温器出口水温的设定温度。操作变量为水雾阀门开度，即内环控制器的输出</w:t>
      </w:r>
      <m:oMath>
        <m:sSub>
          <m:sSubPr>
            <m:ctrlPr>
              <w:rPr>
                <w:rFonts w:ascii="Cambria Math" w:hAnsi="Cambria Math"/>
              </w:rPr>
            </m:ctrlPr>
          </m:sSubPr>
          <m:e>
            <m:r>
              <w:rPr>
                <w:rFonts w:ascii="Cambria Math" w:hAnsi="Cambria Math"/>
              </w:rPr>
              <m:t>u</m:t>
            </m:r>
          </m:e>
          <m:sub>
            <m:r>
              <w:rPr>
                <w:rFonts w:ascii="Cambria Math" w:hAnsi="Cambria Math"/>
              </w:rPr>
              <m:t>1</m:t>
            </m:r>
          </m:sub>
        </m:sSub>
      </m:oMath>
      <w:r>
        <w:rPr>
          <w:rFonts w:hint="eastAsia"/>
        </w:rPr>
        <w:t>。外环控制器的输出</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hint="eastAsia"/>
        </w:rPr>
        <w:t>是内环的输入。</w:t>
      </w:r>
    </w:p>
    <w:p w:rsidR="00911283" w:rsidRDefault="00240CBF">
      <w:r>
        <w:rPr>
          <w:rFonts w:hint="eastAsia"/>
        </w:rPr>
        <w:tab/>
      </w:r>
      <w:r>
        <w:rPr>
          <w:rFonts w:hint="eastAsia"/>
        </w:rPr>
        <w:t>内环扰动主要来自减温水的温度和压力变化，将其归结为</w:t>
      </w:r>
      <w:proofErr w:type="gramStart"/>
      <w:r>
        <w:rPr>
          <w:rFonts w:hint="eastAsia"/>
        </w:rPr>
        <w:t>阶跃型</w:t>
      </w:r>
      <w:proofErr w:type="gramEnd"/>
      <w:r>
        <w:rPr>
          <w:rFonts w:hint="eastAsia"/>
        </w:rPr>
        <w:t>扰动</w:t>
      </w:r>
      <m:oMath>
        <m:sSub>
          <m:sSubPr>
            <m:ctrlPr>
              <w:rPr>
                <w:rFonts w:ascii="Cambria Math" w:hAnsi="Cambria Math"/>
              </w:rPr>
            </m:ctrlPr>
          </m:sSubPr>
          <m:e>
            <m:r>
              <w:rPr>
                <w:rFonts w:ascii="Cambria Math" w:hAnsi="Cambria Math" w:hint="eastAsia"/>
              </w:rPr>
              <m:t>d</m:t>
            </m:r>
          </m:e>
          <m:sub>
            <m:r>
              <w:rPr>
                <w:rFonts w:ascii="Cambria Math" w:hAnsi="Cambria Math"/>
              </w:rPr>
              <m:t>1</m:t>
            </m:r>
          </m:sub>
        </m:sSub>
      </m:oMath>
      <w:r>
        <w:rPr>
          <w:rFonts w:hint="eastAsia"/>
        </w:rPr>
        <w:t>。外环扰动主要有负荷调节、煤质变化、燃烧波动等，并且通过二级过热器影响一次汽温，这里</w:t>
      </w:r>
      <w:proofErr w:type="gramStart"/>
      <w:r>
        <w:rPr>
          <w:rFonts w:hint="eastAsia"/>
        </w:rPr>
        <w:t>用阶跃</w:t>
      </w:r>
      <w:proofErr w:type="gramEnd"/>
      <w:r>
        <w:rPr>
          <w:rFonts w:hint="eastAsia"/>
        </w:rPr>
        <w:t>扰动</w:t>
      </w:r>
      <m:oMath>
        <m:sSub>
          <m:sSubPr>
            <m:ctrlPr>
              <w:rPr>
                <w:rFonts w:ascii="Cambria Math" w:hAnsi="Cambria Math"/>
              </w:rPr>
            </m:ctrlPr>
          </m:sSubPr>
          <m:e>
            <m:r>
              <w:rPr>
                <w:rFonts w:ascii="Cambria Math" w:hAnsi="Cambria Math" w:hint="eastAsia"/>
              </w:rPr>
              <m:t>d</m:t>
            </m:r>
          </m:e>
          <m:sub>
            <m:r>
              <w:rPr>
                <w:rFonts w:ascii="Cambria Math" w:hAnsi="Cambria Math"/>
              </w:rPr>
              <m:t>2</m:t>
            </m:r>
          </m:sub>
        </m:sSub>
      </m:oMath>
      <w:r>
        <w:rPr>
          <w:rFonts w:hint="eastAsia"/>
        </w:rPr>
        <w:t>表示。基于这些条件考虑，</w:t>
      </w:r>
      <w:r>
        <w:rPr>
          <w:rFonts w:hint="eastAsia"/>
        </w:rPr>
        <w:t>SST</w:t>
      </w:r>
      <w:r>
        <w:rPr>
          <w:rFonts w:hint="eastAsia"/>
        </w:rPr>
        <w:t>的控制难度有以下几点：</w:t>
      </w:r>
    </w:p>
    <w:p w:rsidR="00911283" w:rsidRDefault="00240CBF">
      <w:pPr>
        <w:pStyle w:val="aa"/>
        <w:numPr>
          <w:ilvl w:val="1"/>
          <w:numId w:val="4"/>
        </w:numPr>
        <w:ind w:firstLineChars="0"/>
      </w:pPr>
      <w:r>
        <w:rPr>
          <w:rFonts w:hint="eastAsia"/>
        </w:rPr>
        <w:t>二级减温器的动力学模型阶次较高，对扰动的响应缓慢。</w:t>
      </w:r>
    </w:p>
    <w:p w:rsidR="00911283" w:rsidRDefault="00240CBF">
      <w:pPr>
        <w:pStyle w:val="aa"/>
        <w:numPr>
          <w:ilvl w:val="1"/>
          <w:numId w:val="4"/>
        </w:numPr>
        <w:ind w:firstLineChars="0"/>
      </w:pPr>
      <w:r>
        <w:rPr>
          <w:rFonts w:hint="eastAsia"/>
        </w:rPr>
        <w:t>SST</w:t>
      </w:r>
      <w:r>
        <w:rPr>
          <w:rFonts w:hint="eastAsia"/>
        </w:rPr>
        <w:t>的扰动是多源的。负荷需求、主汽流量、烟气流量等诸多因素都会影响主汽温度。</w:t>
      </w:r>
    </w:p>
    <w:p w:rsidR="00911283" w:rsidRDefault="00240CBF">
      <w:pPr>
        <w:pStyle w:val="aa"/>
        <w:numPr>
          <w:ilvl w:val="1"/>
          <w:numId w:val="4"/>
        </w:numPr>
        <w:ind w:firstLineChars="0"/>
      </w:pPr>
      <w:r>
        <w:rPr>
          <w:rFonts w:hint="eastAsia"/>
        </w:rPr>
        <w:t>系统复杂性较高，难以建立精确数学模型。</w:t>
      </w:r>
    </w:p>
    <w:p w:rsidR="00911283" w:rsidRDefault="00240CBF">
      <w:pPr>
        <w:pStyle w:val="aa"/>
        <w:numPr>
          <w:ilvl w:val="1"/>
          <w:numId w:val="4"/>
        </w:numPr>
        <w:ind w:firstLineChars="0"/>
      </w:pPr>
      <w:r>
        <w:rPr>
          <w:rFonts w:hint="eastAsia"/>
        </w:rPr>
        <w:t>由于火力发电厂机组通常运行在半负载到满负载范围内且变化频繁</w:t>
      </w:r>
      <w:r>
        <w:rPr>
          <w:rFonts w:hint="eastAsia"/>
        </w:rPr>
        <w:t>,SST</w:t>
      </w:r>
      <w:r>
        <w:rPr>
          <w:rFonts w:hint="eastAsia"/>
        </w:rPr>
        <w:t>系统与操作条件急剧变化</w:t>
      </w:r>
      <w:r>
        <w:rPr>
          <w:rFonts w:hint="eastAsia"/>
        </w:rPr>
        <w:t>,</w:t>
      </w:r>
      <w:r>
        <w:rPr>
          <w:rFonts w:hint="eastAsia"/>
        </w:rPr>
        <w:t>需要控制系统具有良好的鲁棒性。另外机组负载产生的强非线性也会对控制性能产生不利影响。</w:t>
      </w:r>
    </w:p>
    <w:p w:rsidR="00911283" w:rsidRDefault="00240CBF">
      <w:pPr>
        <w:ind w:firstLine="420"/>
      </w:pPr>
      <w:r>
        <w:rPr>
          <w:rFonts w:hint="eastAsia"/>
        </w:rPr>
        <w:t>基于上述条件，</w:t>
      </w:r>
      <w:r>
        <w:rPr>
          <w:rFonts w:hint="eastAsia"/>
        </w:rPr>
        <w:t>SST</w:t>
      </w:r>
      <w:r>
        <w:rPr>
          <w:rFonts w:hint="eastAsia"/>
        </w:rPr>
        <w:t>控制系统应保证具有较强的抗干扰能力，即保持良好的鲁棒性，同时对数学模型的准确性不严格依赖。</w:t>
      </w:r>
    </w:p>
    <w:p w:rsidR="00911283" w:rsidRDefault="00240CBF">
      <w:pPr>
        <w:pStyle w:val="2"/>
        <w:numPr>
          <w:ilvl w:val="1"/>
          <w:numId w:val="1"/>
        </w:numPr>
      </w:pPr>
      <w:r>
        <w:rPr>
          <w:rFonts w:hint="eastAsia"/>
        </w:rPr>
        <w:t>SST</w:t>
      </w:r>
      <w:r>
        <w:rPr>
          <w:rFonts w:hint="eastAsia"/>
        </w:rPr>
        <w:t>模型辨识</w:t>
      </w:r>
    </w:p>
    <w:p w:rsidR="00911283" w:rsidRDefault="00240CBF">
      <w:pPr>
        <w:ind w:firstLine="360"/>
      </w:pPr>
      <w:r>
        <w:rPr>
          <w:rFonts w:hint="eastAsia"/>
        </w:rPr>
        <w:t>系统理论中</w:t>
      </w:r>
      <w:r>
        <w:rPr>
          <w:rFonts w:hint="eastAsia"/>
        </w:rPr>
        <w:t>SST</w:t>
      </w:r>
      <w:r>
        <w:rPr>
          <w:rFonts w:hint="eastAsia"/>
        </w:rPr>
        <w:t>属于参数分布式系统，在稳定工况中通过开环实验参数辨识，近似得到</w:t>
      </w:r>
      <w:r>
        <w:rPr>
          <w:rFonts w:hint="eastAsia"/>
        </w:rPr>
        <w:lastRenderedPageBreak/>
        <w:t>SST</w:t>
      </w:r>
      <w:r>
        <w:rPr>
          <w:rFonts w:hint="eastAsia"/>
        </w:rPr>
        <w:t>的线性模型，其工艺过程如图</w:t>
      </w:r>
      <w:r>
        <w:rPr>
          <w:rFonts w:hint="eastAsia"/>
        </w:rPr>
        <w:t>1</w:t>
      </w:r>
      <w:r>
        <w:rPr>
          <w:rFonts w:hint="eastAsia"/>
        </w:rPr>
        <w:t>，方块图如图</w:t>
      </w:r>
      <w:r>
        <w:rPr>
          <w:rFonts w:hint="eastAsia"/>
        </w:rPr>
        <w:t>2</w:t>
      </w:r>
      <w:r>
        <w:rPr>
          <w:rFonts w:hint="eastAsia"/>
        </w:rPr>
        <w:t>。在某个燃煤电厂中得到</w:t>
      </w:r>
      <w:r>
        <w:rPr>
          <w:rFonts w:hint="eastAsia"/>
        </w:rPr>
        <w:t>300MW</w:t>
      </w:r>
      <w:r>
        <w:rPr>
          <w:rFonts w:hint="eastAsia"/>
        </w:rPr>
        <w:t>机组的</w:t>
      </w:r>
      <w:r>
        <w:rPr>
          <w:rFonts w:hint="eastAsia"/>
        </w:rPr>
        <w:t>SST</w:t>
      </w:r>
      <w:r>
        <w:rPr>
          <w:rFonts w:hint="eastAsia"/>
        </w:rPr>
        <w:t>模型为：</w:t>
      </w:r>
    </w:p>
    <w:tbl>
      <w:tblPr>
        <w:tblStyle w:val="a8"/>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4820"/>
        <w:gridCol w:w="1984"/>
      </w:tblGrid>
      <w:tr w:rsidR="00911283">
        <w:trPr>
          <w:trHeight w:val="538"/>
        </w:trPr>
        <w:tc>
          <w:tcPr>
            <w:tcW w:w="1809" w:type="dxa"/>
            <w:vAlign w:val="center"/>
          </w:tcPr>
          <w:p w:rsidR="00911283" w:rsidRDefault="00911283">
            <w:pPr>
              <w:jc w:val="center"/>
            </w:pPr>
          </w:p>
        </w:tc>
        <w:tc>
          <w:tcPr>
            <w:tcW w:w="4820" w:type="dxa"/>
            <w:vAlign w:val="center"/>
          </w:tcPr>
          <w:p w:rsidR="00911283" w:rsidRDefault="00240CBF">
            <w:pPr>
              <w:jc w:val="center"/>
            </w:pPr>
            <m:oMathPara>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(s)=</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1</m:t>
                        </m:r>
                      </m:sub>
                    </m:sSub>
                  </m:num>
                  <m:den>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s+1)</m:t>
                        </m:r>
                      </m:e>
                      <m:sup>
                        <m:r>
                          <w:rPr>
                            <w:rFonts w:ascii="Cambria Math" w:hAnsi="Cambria Math"/>
                          </w:rPr>
                          <m:t>2</m:t>
                        </m:r>
                      </m:sup>
                    </m:sSup>
                  </m:den>
                </m:f>
              </m:oMath>
            </m:oMathPara>
          </w:p>
        </w:tc>
        <w:tc>
          <w:tcPr>
            <w:tcW w:w="1984" w:type="dxa"/>
            <w:vAlign w:val="center"/>
          </w:tcPr>
          <w:p w:rsidR="00911283" w:rsidRDefault="00240CBF">
            <w:pPr>
              <w:jc w:val="right"/>
            </w:pPr>
            <w:r>
              <w:rPr>
                <w:rFonts w:hint="eastAsia"/>
              </w:rPr>
              <w:t>（</w:t>
            </w:r>
            <w:r>
              <w:rPr>
                <w:rFonts w:hint="eastAsia"/>
              </w:rPr>
              <w:t>1</w:t>
            </w:r>
            <w:r>
              <w:rPr>
                <w:rFonts w:hint="eastAsia"/>
              </w:rPr>
              <w:t>）</w:t>
            </w:r>
          </w:p>
        </w:tc>
      </w:tr>
      <w:tr w:rsidR="00911283">
        <w:trPr>
          <w:trHeight w:val="538"/>
        </w:trPr>
        <w:tc>
          <w:tcPr>
            <w:tcW w:w="1809" w:type="dxa"/>
            <w:vAlign w:val="center"/>
          </w:tcPr>
          <w:p w:rsidR="00911283" w:rsidRDefault="00911283">
            <w:pPr>
              <w:jc w:val="center"/>
            </w:pPr>
          </w:p>
        </w:tc>
        <w:tc>
          <w:tcPr>
            <w:tcW w:w="4820" w:type="dxa"/>
            <w:vAlign w:val="center"/>
          </w:tcPr>
          <w:p w:rsidR="00911283" w:rsidRDefault="00240CBF">
            <w:pPr>
              <w:jc w:val="center"/>
            </w:pPr>
            <m:oMathPara>
              <m:oMath>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(s)=</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2</m:t>
                        </m:r>
                      </m:sub>
                    </m:sSub>
                  </m:num>
                  <m:den>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s+1)</m:t>
                        </m:r>
                      </m:e>
                      <m:sup>
                        <m:r>
                          <w:rPr>
                            <w:rFonts w:ascii="Cambria Math" w:hAnsi="Cambria Math"/>
                          </w:rPr>
                          <m:t>4</m:t>
                        </m:r>
                      </m:sup>
                    </m:sSup>
                  </m:den>
                </m:f>
              </m:oMath>
            </m:oMathPara>
          </w:p>
        </w:tc>
        <w:tc>
          <w:tcPr>
            <w:tcW w:w="1984" w:type="dxa"/>
            <w:vAlign w:val="center"/>
          </w:tcPr>
          <w:p w:rsidR="00911283" w:rsidRDefault="00240CBF">
            <w:pPr>
              <w:jc w:val="right"/>
            </w:pPr>
            <w:r>
              <w:rPr>
                <w:rFonts w:hint="eastAsia"/>
              </w:rPr>
              <w:t>（</w:t>
            </w:r>
            <w:r>
              <w:rPr>
                <w:rFonts w:hint="eastAsia"/>
              </w:rPr>
              <w:t>2</w:t>
            </w:r>
            <w:r>
              <w:rPr>
                <w:rFonts w:hint="eastAsia"/>
              </w:rPr>
              <w:t>）</w:t>
            </w:r>
          </w:p>
        </w:tc>
      </w:tr>
    </w:tbl>
    <w:p w:rsidR="00911283" w:rsidRDefault="00240CBF">
      <w:pPr>
        <w:ind w:firstLine="420"/>
      </w:pPr>
      <w:r>
        <w:rPr>
          <w:rFonts w:hint="eastAsia"/>
        </w:rPr>
        <w:t>上式中，</w:t>
      </w:r>
      <m:oMath>
        <m:sSub>
          <m:sSubPr>
            <m:ctrlPr>
              <w:rPr>
                <w:rFonts w:ascii="Cambria Math" w:hAnsi="Cambria Math"/>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w:t>
      </w:r>
      <m:oMath>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(s)</m:t>
        </m:r>
      </m:oMath>
      <w:r>
        <w:rPr>
          <w:rFonts w:hint="eastAsia"/>
        </w:rPr>
        <w:t>分别为</w:t>
      </w:r>
      <w:r>
        <w:rPr>
          <w:rFonts w:hint="eastAsia"/>
        </w:rPr>
        <w:t>SST</w:t>
      </w:r>
      <w:r>
        <w:rPr>
          <w:rFonts w:hint="eastAsia"/>
        </w:rPr>
        <w:t>内环和外环模型的传递函数，</w:t>
      </w:r>
      <m:oMath>
        <m:sSub>
          <m:sSubPr>
            <m:ctrlPr>
              <w:rPr>
                <w:rFonts w:ascii="Cambria Math" w:hAnsi="Cambria Math"/>
              </w:rPr>
            </m:ctrlPr>
          </m:sSubPr>
          <m:e>
            <m:r>
              <w:rPr>
                <w:rFonts w:ascii="Cambria Math" w:hAnsi="Cambria Math"/>
              </w:rPr>
              <m:t>K</m:t>
            </m:r>
          </m:e>
          <m:sub>
            <m:r>
              <w:rPr>
                <w:rFonts w:ascii="Cambria Math" w:hAnsi="Cambria Math"/>
              </w:rPr>
              <m:t>1</m:t>
            </m:r>
          </m:sub>
        </m:sSub>
      </m:oMath>
      <w:r>
        <w:rPr>
          <w:rFonts w:hint="eastAsia"/>
        </w:rPr>
        <w:t>和</w:t>
      </w:r>
      <m:oMath>
        <m:sSub>
          <m:sSubPr>
            <m:ctrlPr>
              <w:rPr>
                <w:rFonts w:ascii="Cambria Math" w:hAnsi="Cambria Math"/>
              </w:rPr>
            </m:ctrlPr>
          </m:sSubPr>
          <m:e>
            <m:r>
              <w:rPr>
                <w:rFonts w:ascii="Cambria Math" w:hAnsi="Cambria Math"/>
              </w:rPr>
              <m:t>T</m:t>
            </m:r>
          </m:e>
          <m:sub>
            <m:r>
              <w:rPr>
                <w:rFonts w:ascii="Cambria Math" w:hAnsi="Cambria Math"/>
              </w:rPr>
              <m:t>1</m:t>
            </m:r>
          </m:sub>
        </m:sSub>
      </m:oMath>
      <w:r>
        <w:rPr>
          <w:rFonts w:hint="eastAsia"/>
        </w:rPr>
        <w:t>是</w:t>
      </w:r>
      <w:proofErr w:type="gramStart"/>
      <w:r>
        <w:rPr>
          <w:rFonts w:hint="eastAsia"/>
        </w:rPr>
        <w:t>内环传函的</w:t>
      </w:r>
      <w:proofErr w:type="gramEnd"/>
      <w:r>
        <w:rPr>
          <w:rFonts w:hint="eastAsia"/>
        </w:rPr>
        <w:t>动态参数，</w:t>
      </w:r>
      <m:oMath>
        <m:sSub>
          <m:sSubPr>
            <m:ctrlPr>
              <w:rPr>
                <w:rFonts w:ascii="Cambria Math" w:hAnsi="Cambria Math"/>
              </w:rPr>
            </m:ctrlPr>
          </m:sSubPr>
          <m:e>
            <m:r>
              <w:rPr>
                <w:rFonts w:ascii="Cambria Math" w:hAnsi="Cambria Math"/>
              </w:rPr>
              <m:t>K</m:t>
            </m:r>
          </m:e>
          <m:sub>
            <m:r>
              <w:rPr>
                <w:rFonts w:ascii="Cambria Math" w:hAnsi="Cambria Math"/>
              </w:rPr>
              <m:t>2</m:t>
            </m:r>
          </m:sub>
        </m:sSub>
      </m:oMath>
      <w:r>
        <w:rPr>
          <w:rFonts w:hint="eastAsia"/>
        </w:rPr>
        <w:t>和</w:t>
      </w:r>
      <m:oMath>
        <m:sSub>
          <m:sSubPr>
            <m:ctrlPr>
              <w:rPr>
                <w:rFonts w:ascii="Cambria Math" w:hAnsi="Cambria Math"/>
              </w:rPr>
            </m:ctrlPr>
          </m:sSubPr>
          <m:e>
            <m:r>
              <w:rPr>
                <w:rFonts w:ascii="Cambria Math" w:hAnsi="Cambria Math"/>
              </w:rPr>
              <m:t>T</m:t>
            </m:r>
          </m:e>
          <m:sub>
            <m:r>
              <w:rPr>
                <w:rFonts w:ascii="Cambria Math" w:hAnsi="Cambria Math"/>
              </w:rPr>
              <m:t>2</m:t>
            </m:r>
          </m:sub>
        </m:sSub>
      </m:oMath>
      <w:r>
        <w:rPr>
          <w:rFonts w:hint="eastAsia"/>
        </w:rPr>
        <w:t>是</w:t>
      </w:r>
      <w:proofErr w:type="gramStart"/>
      <w:r>
        <w:rPr>
          <w:rFonts w:hint="eastAsia"/>
        </w:rPr>
        <w:t>外环传函的</w:t>
      </w:r>
      <w:proofErr w:type="gramEnd"/>
      <w:r>
        <w:rPr>
          <w:rFonts w:hint="eastAsia"/>
        </w:rPr>
        <w:t>动态参数。这些参数都是通过辨识来确认的。</w:t>
      </w:r>
    </w:p>
    <w:p w:rsidR="00911283" w:rsidRDefault="00240CBF">
      <w:pPr>
        <w:ind w:firstLine="420"/>
      </w:pPr>
      <w:r>
        <w:rPr>
          <w:rFonts w:hint="eastAsia"/>
        </w:rPr>
        <w:t>采用多目标遗传算法优化这些动态参数，同时使</w:t>
      </w:r>
      <w:r>
        <w:rPr>
          <w:rFonts w:hint="eastAsia"/>
        </w:rPr>
        <w:t>SST</w:t>
      </w:r>
      <w:r>
        <w:rPr>
          <w:rFonts w:hint="eastAsia"/>
        </w:rPr>
        <w:t>模型的误差与实际降到最少，最后得到模型为：</w:t>
      </w:r>
    </w:p>
    <w:tbl>
      <w:tblPr>
        <w:tblStyle w:val="a8"/>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4820"/>
        <w:gridCol w:w="1984"/>
      </w:tblGrid>
      <w:tr w:rsidR="00911283">
        <w:trPr>
          <w:trHeight w:val="538"/>
        </w:trPr>
        <w:tc>
          <w:tcPr>
            <w:tcW w:w="1809" w:type="dxa"/>
            <w:vAlign w:val="center"/>
          </w:tcPr>
          <w:p w:rsidR="00911283" w:rsidRDefault="00911283">
            <w:pPr>
              <w:jc w:val="center"/>
            </w:pPr>
          </w:p>
        </w:tc>
        <w:tc>
          <w:tcPr>
            <w:tcW w:w="4820" w:type="dxa"/>
            <w:vAlign w:val="center"/>
          </w:tcPr>
          <w:p w:rsidR="00911283" w:rsidRDefault="00240CBF">
            <w:pPr>
              <w:jc w:val="center"/>
            </w:pPr>
            <m:oMathPara>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(s)=</m:t>
                </m:r>
                <m:f>
                  <m:fPr>
                    <m:ctrlPr>
                      <w:rPr>
                        <w:rFonts w:ascii="Cambria Math" w:hAnsi="Cambria Math"/>
                      </w:rPr>
                    </m:ctrlPr>
                  </m:fPr>
                  <m:num>
                    <m:r>
                      <w:rPr>
                        <w:rFonts w:ascii="Cambria Math" w:hAnsi="Cambria Math"/>
                      </w:rPr>
                      <m:t>-1.726</m:t>
                    </m:r>
                  </m:num>
                  <m:den>
                    <m:r>
                      <w:rPr>
                        <w:rFonts w:ascii="Cambria Math" w:hAnsi="Cambria Math"/>
                      </w:rPr>
                      <m:t>(19.775s+1</m:t>
                    </m:r>
                    <m:sSup>
                      <m:sSupPr>
                        <m:ctrlPr>
                          <w:rPr>
                            <w:rFonts w:ascii="Cambria Math" w:hAnsi="Cambria Math"/>
                          </w:rPr>
                        </m:ctrlPr>
                      </m:sSupPr>
                      <m:e>
                        <m:r>
                          <w:rPr>
                            <w:rFonts w:ascii="Cambria Math" w:hAnsi="Cambria Math"/>
                          </w:rPr>
                          <m:t>)</m:t>
                        </m:r>
                      </m:e>
                      <m:sup>
                        <m:r>
                          <w:rPr>
                            <w:rFonts w:ascii="Cambria Math" w:hAnsi="Cambria Math"/>
                          </w:rPr>
                          <m:t>2</m:t>
                        </m:r>
                      </m:sup>
                    </m:sSup>
                  </m:den>
                </m:f>
              </m:oMath>
            </m:oMathPara>
          </w:p>
        </w:tc>
        <w:tc>
          <w:tcPr>
            <w:tcW w:w="1984" w:type="dxa"/>
            <w:vAlign w:val="center"/>
          </w:tcPr>
          <w:p w:rsidR="00911283" w:rsidRDefault="00240CBF">
            <w:pPr>
              <w:jc w:val="right"/>
            </w:pPr>
            <w:r>
              <w:rPr>
                <w:rFonts w:hint="eastAsia"/>
              </w:rPr>
              <w:t>（</w:t>
            </w:r>
            <w:r>
              <w:rPr>
                <w:rFonts w:hint="eastAsia"/>
              </w:rPr>
              <w:t>3</w:t>
            </w:r>
            <w:r>
              <w:rPr>
                <w:rFonts w:hint="eastAsia"/>
              </w:rPr>
              <w:t>）</w:t>
            </w:r>
          </w:p>
        </w:tc>
      </w:tr>
      <w:tr w:rsidR="00911283">
        <w:trPr>
          <w:trHeight w:val="538"/>
        </w:trPr>
        <w:tc>
          <w:tcPr>
            <w:tcW w:w="1809" w:type="dxa"/>
            <w:vAlign w:val="center"/>
          </w:tcPr>
          <w:p w:rsidR="00911283" w:rsidRDefault="00911283">
            <w:pPr>
              <w:jc w:val="center"/>
            </w:pPr>
          </w:p>
        </w:tc>
        <w:tc>
          <w:tcPr>
            <w:tcW w:w="4820" w:type="dxa"/>
            <w:vAlign w:val="center"/>
          </w:tcPr>
          <w:p w:rsidR="00911283" w:rsidRDefault="00240CBF">
            <w:pPr>
              <w:jc w:val="center"/>
            </w:pPr>
            <m:oMathPara>
              <m:oMath>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(s)=</m:t>
                </m:r>
                <m:f>
                  <m:fPr>
                    <m:ctrlPr>
                      <w:rPr>
                        <w:rFonts w:ascii="Cambria Math" w:hAnsi="Cambria Math"/>
                      </w:rPr>
                    </m:ctrlPr>
                  </m:fPr>
                  <m:num>
                    <m:r>
                      <w:rPr>
                        <w:rFonts w:ascii="Cambria Math" w:hAnsi="Cambria Math"/>
                      </w:rPr>
                      <m:t>1.474</m:t>
                    </m:r>
                  </m:num>
                  <m:den>
                    <m:r>
                      <w:rPr>
                        <w:rFonts w:ascii="Cambria Math" w:hAnsi="Cambria Math"/>
                      </w:rPr>
                      <m:t>(28.774s+1</m:t>
                    </m:r>
                    <m:sSup>
                      <m:sSupPr>
                        <m:ctrlPr>
                          <w:rPr>
                            <w:rFonts w:ascii="Cambria Math" w:hAnsi="Cambria Math"/>
                          </w:rPr>
                        </m:ctrlPr>
                      </m:sSupPr>
                      <m:e>
                        <m:r>
                          <w:rPr>
                            <w:rFonts w:ascii="Cambria Math" w:hAnsi="Cambria Math"/>
                          </w:rPr>
                          <m:t>)</m:t>
                        </m:r>
                      </m:e>
                      <m:sup>
                        <m:r>
                          <w:rPr>
                            <w:rFonts w:ascii="Cambria Math" w:hAnsi="Cambria Math"/>
                          </w:rPr>
                          <m:t>4</m:t>
                        </m:r>
                      </m:sup>
                    </m:sSup>
                  </m:den>
                </m:f>
              </m:oMath>
            </m:oMathPara>
          </w:p>
        </w:tc>
        <w:tc>
          <w:tcPr>
            <w:tcW w:w="1984" w:type="dxa"/>
            <w:vAlign w:val="center"/>
          </w:tcPr>
          <w:p w:rsidR="00911283" w:rsidRDefault="00240CBF">
            <w:pPr>
              <w:jc w:val="right"/>
            </w:pPr>
            <w:r>
              <w:rPr>
                <w:rFonts w:hint="eastAsia"/>
              </w:rPr>
              <w:t>（</w:t>
            </w:r>
            <w:r>
              <w:rPr>
                <w:rFonts w:hint="eastAsia"/>
              </w:rPr>
              <w:t>4</w:t>
            </w:r>
            <w:r>
              <w:rPr>
                <w:rFonts w:hint="eastAsia"/>
              </w:rPr>
              <w:t>）</w:t>
            </w:r>
          </w:p>
        </w:tc>
      </w:tr>
    </w:tbl>
    <w:p w:rsidR="00911283" w:rsidRDefault="00240CBF">
      <w:pPr>
        <w:ind w:firstLine="420"/>
      </w:pPr>
      <w:r>
        <w:rPr>
          <w:rFonts w:hint="eastAsia"/>
        </w:rPr>
        <w:t>由模型识别得到的传递函数的响应与实际过程中得到的相比误差较小，由此可见该</w:t>
      </w:r>
      <w:r>
        <w:rPr>
          <w:rFonts w:hint="eastAsia"/>
        </w:rPr>
        <w:t>SST</w:t>
      </w:r>
      <w:r>
        <w:rPr>
          <w:rFonts w:hint="eastAsia"/>
        </w:rPr>
        <w:t>传递函数可用于控制器设计。</w:t>
      </w:r>
    </w:p>
    <w:tbl>
      <w:tblPr>
        <w:tblStyle w:val="a8"/>
        <w:tblW w:w="9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856"/>
        <w:gridCol w:w="236"/>
      </w:tblGrid>
      <w:tr w:rsidR="00911283">
        <w:trPr>
          <w:trHeight w:val="1001"/>
        </w:trPr>
        <w:tc>
          <w:tcPr>
            <w:tcW w:w="236" w:type="dxa"/>
            <w:vAlign w:val="center"/>
          </w:tcPr>
          <w:p w:rsidR="00911283" w:rsidRDefault="00911283">
            <w:pPr>
              <w:jc w:val="center"/>
            </w:pPr>
          </w:p>
        </w:tc>
        <w:tc>
          <w:tcPr>
            <w:tcW w:w="8856" w:type="dxa"/>
            <w:vAlign w:val="center"/>
          </w:tcPr>
          <w:p w:rsidR="00911283" w:rsidRDefault="00240CBF">
            <w:pPr>
              <w:jc w:val="center"/>
            </w:pPr>
            <w:r>
              <w:object w:dxaOrig="7790" w:dyaOrig="4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55pt;height:200.95pt" o:ole="">
                  <v:imagedata r:id="rId8" o:title=""/>
                </v:shape>
                <o:OLEObject Type="Embed" ProgID="Visio.Drawing.15" ShapeID="_x0000_i1025" DrawAspect="Content" ObjectID="_1685892391" r:id="rId9"/>
              </w:object>
            </w:r>
          </w:p>
        </w:tc>
        <w:tc>
          <w:tcPr>
            <w:tcW w:w="236" w:type="dxa"/>
            <w:vAlign w:val="center"/>
          </w:tcPr>
          <w:p w:rsidR="00911283" w:rsidRDefault="00911283">
            <w:pPr>
              <w:jc w:val="center"/>
            </w:pPr>
          </w:p>
        </w:tc>
      </w:tr>
      <w:tr w:rsidR="00911283">
        <w:trPr>
          <w:trHeight w:val="1001"/>
        </w:trPr>
        <w:tc>
          <w:tcPr>
            <w:tcW w:w="236" w:type="dxa"/>
            <w:vAlign w:val="center"/>
          </w:tcPr>
          <w:p w:rsidR="00911283" w:rsidRDefault="00911283">
            <w:pPr>
              <w:jc w:val="center"/>
            </w:pPr>
          </w:p>
        </w:tc>
        <w:tc>
          <w:tcPr>
            <w:tcW w:w="8856" w:type="dxa"/>
            <w:vAlign w:val="center"/>
          </w:tcPr>
          <w:p w:rsidR="00911283" w:rsidRDefault="00240CBF">
            <w:pPr>
              <w:jc w:val="center"/>
              <w:rPr>
                <w:rStyle w:val="10"/>
              </w:rPr>
            </w:pPr>
            <w:r>
              <w:rPr>
                <w:rStyle w:val="10"/>
                <w:rFonts w:hint="eastAsia"/>
              </w:rPr>
              <w:t>图（</w:t>
            </w:r>
            <w:r>
              <w:rPr>
                <w:rStyle w:val="10"/>
                <w:rFonts w:hint="eastAsia"/>
              </w:rPr>
              <w:t>1</w:t>
            </w:r>
            <w:r>
              <w:rPr>
                <w:rStyle w:val="10"/>
                <w:rFonts w:hint="eastAsia"/>
              </w:rPr>
              <w:t>）过热汽温控制过程</w:t>
            </w:r>
          </w:p>
        </w:tc>
        <w:tc>
          <w:tcPr>
            <w:tcW w:w="236" w:type="dxa"/>
            <w:vAlign w:val="center"/>
          </w:tcPr>
          <w:p w:rsidR="00911283" w:rsidRDefault="00911283">
            <w:pPr>
              <w:jc w:val="center"/>
            </w:pPr>
          </w:p>
        </w:tc>
      </w:tr>
    </w:tbl>
    <w:p w:rsidR="00911283" w:rsidRDefault="00911283"/>
    <w:tbl>
      <w:tblPr>
        <w:tblStyle w:val="a8"/>
        <w:tblW w:w="9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
        <w:gridCol w:w="8856"/>
        <w:gridCol w:w="247"/>
      </w:tblGrid>
      <w:tr w:rsidR="00911283">
        <w:trPr>
          <w:trHeight w:val="649"/>
        </w:trPr>
        <w:tc>
          <w:tcPr>
            <w:tcW w:w="3115" w:type="dxa"/>
            <w:vAlign w:val="center"/>
          </w:tcPr>
          <w:p w:rsidR="00911283" w:rsidRDefault="00911283">
            <w:pPr>
              <w:jc w:val="center"/>
            </w:pPr>
          </w:p>
        </w:tc>
        <w:tc>
          <w:tcPr>
            <w:tcW w:w="3117" w:type="dxa"/>
            <w:vAlign w:val="center"/>
          </w:tcPr>
          <w:p w:rsidR="00911283" w:rsidRDefault="00240CBF">
            <w:pPr>
              <w:jc w:val="center"/>
            </w:pPr>
            <w:r>
              <w:rPr>
                <w:noProof/>
              </w:rPr>
              <w:drawing>
                <wp:inline distT="0" distB="0" distL="0" distR="0">
                  <wp:extent cx="5486400" cy="9740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486400" cy="974090"/>
                          </a:xfrm>
                          <a:prstGeom prst="rect">
                            <a:avLst/>
                          </a:prstGeom>
                        </pic:spPr>
                      </pic:pic>
                    </a:graphicData>
                  </a:graphic>
                </wp:inline>
              </w:drawing>
            </w:r>
          </w:p>
        </w:tc>
        <w:tc>
          <w:tcPr>
            <w:tcW w:w="3117" w:type="dxa"/>
            <w:vAlign w:val="center"/>
          </w:tcPr>
          <w:p w:rsidR="00911283" w:rsidRDefault="00911283">
            <w:pPr>
              <w:jc w:val="center"/>
            </w:pPr>
          </w:p>
        </w:tc>
      </w:tr>
      <w:tr w:rsidR="00911283">
        <w:trPr>
          <w:trHeight w:val="682"/>
        </w:trPr>
        <w:tc>
          <w:tcPr>
            <w:tcW w:w="3115" w:type="dxa"/>
            <w:vAlign w:val="center"/>
          </w:tcPr>
          <w:p w:rsidR="00911283" w:rsidRDefault="00911283">
            <w:pPr>
              <w:jc w:val="center"/>
            </w:pPr>
          </w:p>
        </w:tc>
        <w:tc>
          <w:tcPr>
            <w:tcW w:w="3117" w:type="dxa"/>
            <w:vAlign w:val="center"/>
          </w:tcPr>
          <w:p w:rsidR="00911283" w:rsidRDefault="00240CBF">
            <w:pPr>
              <w:jc w:val="center"/>
            </w:pPr>
            <w:r>
              <w:rPr>
                <w:rStyle w:val="10"/>
                <w:rFonts w:hint="eastAsia"/>
              </w:rPr>
              <w:t>图（</w:t>
            </w:r>
            <w:r>
              <w:rPr>
                <w:rStyle w:val="10"/>
                <w:rFonts w:hint="eastAsia"/>
              </w:rPr>
              <w:t>2</w:t>
            </w:r>
            <w:r>
              <w:rPr>
                <w:rStyle w:val="10"/>
                <w:rFonts w:hint="eastAsia"/>
              </w:rPr>
              <w:t>）</w:t>
            </w:r>
            <w:r>
              <w:rPr>
                <w:rStyle w:val="10"/>
                <w:rFonts w:hint="eastAsia"/>
              </w:rPr>
              <w:t>SST</w:t>
            </w:r>
            <w:r>
              <w:rPr>
                <w:rStyle w:val="10"/>
                <w:rFonts w:hint="eastAsia"/>
              </w:rPr>
              <w:t>控制方块图</w:t>
            </w:r>
          </w:p>
        </w:tc>
        <w:tc>
          <w:tcPr>
            <w:tcW w:w="3117" w:type="dxa"/>
            <w:vAlign w:val="center"/>
          </w:tcPr>
          <w:p w:rsidR="00911283" w:rsidRDefault="00911283">
            <w:pPr>
              <w:jc w:val="center"/>
            </w:pPr>
          </w:p>
        </w:tc>
      </w:tr>
    </w:tbl>
    <w:p w:rsidR="00911283" w:rsidRDefault="00911283"/>
    <w:p w:rsidR="00911283" w:rsidRDefault="00240CBF">
      <w:pPr>
        <w:pStyle w:val="1"/>
        <w:numPr>
          <w:ilvl w:val="0"/>
          <w:numId w:val="1"/>
        </w:numPr>
      </w:pPr>
      <w:r>
        <w:rPr>
          <w:rFonts w:hint="eastAsia"/>
        </w:rPr>
        <w:lastRenderedPageBreak/>
        <w:t>应用强化学习的控制器设计</w:t>
      </w:r>
    </w:p>
    <w:p w:rsidR="00911283" w:rsidRDefault="00240CBF">
      <w:pPr>
        <w:ind w:firstLine="360"/>
      </w:pPr>
      <w:r>
        <w:rPr>
          <w:rFonts w:hint="eastAsia"/>
        </w:rPr>
        <w:t>过热蒸汽温度调控主要采用传统的</w:t>
      </w:r>
      <w:r>
        <w:rPr>
          <w:rFonts w:hint="eastAsia"/>
        </w:rPr>
        <w:t>PID</w:t>
      </w:r>
      <w:r>
        <w:rPr>
          <w:rFonts w:hint="eastAsia"/>
        </w:rPr>
        <w:t>控制器。然而，其方法有两个主要的局限性。首先，</w:t>
      </w:r>
      <w:r>
        <w:rPr>
          <w:rFonts w:hint="eastAsia"/>
        </w:rPr>
        <w:t>PID</w:t>
      </w:r>
      <w:r>
        <w:rPr>
          <w:rFonts w:hint="eastAsia"/>
        </w:rPr>
        <w:t>控制器的结构中有</w:t>
      </w:r>
      <w:r>
        <w:rPr>
          <w:rFonts w:hint="eastAsia"/>
        </w:rPr>
        <w:t>P</w:t>
      </w:r>
      <w:r>
        <w:rPr>
          <w:rFonts w:hint="eastAsia"/>
        </w:rPr>
        <w:t>、</w:t>
      </w:r>
      <w:r>
        <w:rPr>
          <w:rFonts w:hint="eastAsia"/>
        </w:rPr>
        <w:t>I</w:t>
      </w:r>
      <w:r>
        <w:rPr>
          <w:rFonts w:hint="eastAsia"/>
        </w:rPr>
        <w:t>、</w:t>
      </w:r>
      <w:r>
        <w:rPr>
          <w:rFonts w:hint="eastAsia"/>
        </w:rPr>
        <w:t>D</w:t>
      </w:r>
      <w:r>
        <w:rPr>
          <w:rFonts w:hint="eastAsia"/>
        </w:rPr>
        <w:t>增益，需要将它们作为参数进行调整。这些参数通常通过经验丰富的人员手动进行调整，但往往不能达到最佳效果。为了实现</w:t>
      </w:r>
      <w:r>
        <w:rPr>
          <w:rFonts w:hint="eastAsia"/>
        </w:rPr>
        <w:t>PID</w:t>
      </w:r>
      <w:r>
        <w:rPr>
          <w:rFonts w:hint="eastAsia"/>
        </w:rPr>
        <w:t>参数整定的智能化，人们进行了大量研究，典型方法有齐格尔</w:t>
      </w:r>
      <w:r>
        <w:rPr>
          <w:rFonts w:hint="eastAsia"/>
        </w:rPr>
        <w:t>-</w:t>
      </w:r>
      <w:r>
        <w:rPr>
          <w:rFonts w:hint="eastAsia"/>
        </w:rPr>
        <w:t>尼格尔斯（</w:t>
      </w:r>
      <w:r>
        <w:rPr>
          <w:rFonts w:hint="eastAsia"/>
        </w:rPr>
        <w:t>ZN</w:t>
      </w:r>
      <w:r>
        <w:rPr>
          <w:rFonts w:hint="eastAsia"/>
        </w:rPr>
        <w:t>）方法、戴维森（</w:t>
      </w:r>
      <w:r>
        <w:rPr>
          <w:rFonts w:hint="eastAsia"/>
        </w:rPr>
        <w:t>Davison</w:t>
      </w:r>
      <w:r>
        <w:rPr>
          <w:rFonts w:hint="eastAsia"/>
        </w:rPr>
        <w:t>）方法、</w:t>
      </w:r>
      <w:proofErr w:type="spellStart"/>
      <w:r>
        <w:rPr>
          <w:rFonts w:hint="eastAsia"/>
        </w:rPr>
        <w:t>Penttinen</w:t>
      </w:r>
      <w:proofErr w:type="spellEnd"/>
      <w:r>
        <w:rPr>
          <w:rFonts w:hint="eastAsia"/>
        </w:rPr>
        <w:t>方法和</w:t>
      </w:r>
      <w:proofErr w:type="spellStart"/>
      <w:r>
        <w:rPr>
          <w:rFonts w:hint="eastAsia"/>
        </w:rPr>
        <w:t>Maciejowski</w:t>
      </w:r>
      <w:proofErr w:type="spellEnd"/>
      <w:r>
        <w:rPr>
          <w:rFonts w:hint="eastAsia"/>
        </w:rPr>
        <w:t>方法。然而，这些方法都具有局限性，首先都会使调节增益保持固定。其次当负载发生时变，传统</w:t>
      </w:r>
      <w:r>
        <w:rPr>
          <w:rFonts w:hint="eastAsia"/>
        </w:rPr>
        <w:t>PID</w:t>
      </w:r>
      <w:r>
        <w:rPr>
          <w:rFonts w:hint="eastAsia"/>
        </w:rPr>
        <w:t>控制器的性能会受到限制。而</w:t>
      </w:r>
      <w:r>
        <w:rPr>
          <w:rFonts w:hint="eastAsia"/>
        </w:rPr>
        <w:t>SST</w:t>
      </w:r>
      <w:r>
        <w:rPr>
          <w:rFonts w:hint="eastAsia"/>
        </w:rPr>
        <w:t>处于多变的运行环境，因此增益固定的</w:t>
      </w:r>
      <w:r>
        <w:rPr>
          <w:rFonts w:hint="eastAsia"/>
        </w:rPr>
        <w:t>PID</w:t>
      </w:r>
      <w:r>
        <w:rPr>
          <w:rFonts w:hint="eastAsia"/>
        </w:rPr>
        <w:t>控制器不能有效的执行调节任务。处理负载时变的有效方法是自适应，本文采用自适应</w:t>
      </w:r>
      <w:r>
        <w:rPr>
          <w:rFonts w:hint="eastAsia"/>
        </w:rPr>
        <w:t>PID</w:t>
      </w:r>
      <w:r>
        <w:rPr>
          <w:rFonts w:hint="eastAsia"/>
        </w:rPr>
        <w:t>控制器微调系统增益，其特性应有以下几点：</w:t>
      </w:r>
    </w:p>
    <w:p w:rsidR="00911283" w:rsidRDefault="00240CBF">
      <w:pPr>
        <w:pStyle w:val="aa"/>
        <w:numPr>
          <w:ilvl w:val="0"/>
          <w:numId w:val="5"/>
        </w:numPr>
        <w:ind w:firstLineChars="0"/>
      </w:pPr>
      <w:r>
        <w:rPr>
          <w:rFonts w:hint="eastAsia"/>
        </w:rPr>
        <w:t>不应该依赖人类基于经验的增益调整策略。</w:t>
      </w:r>
    </w:p>
    <w:p w:rsidR="00911283" w:rsidRDefault="00240CBF">
      <w:pPr>
        <w:pStyle w:val="aa"/>
        <w:numPr>
          <w:ilvl w:val="0"/>
          <w:numId w:val="5"/>
        </w:numPr>
        <w:ind w:firstLineChars="0"/>
      </w:pPr>
      <w:r>
        <w:rPr>
          <w:rFonts w:hint="eastAsia"/>
        </w:rPr>
        <w:t>对</w:t>
      </w:r>
      <w:r>
        <w:rPr>
          <w:rFonts w:hint="eastAsia"/>
        </w:rPr>
        <w:t>SST</w:t>
      </w:r>
      <w:r>
        <w:rPr>
          <w:rFonts w:hint="eastAsia"/>
        </w:rPr>
        <w:t>控制系统的执行机构不做出频繁而剧烈的调整，即良好的控制效率。</w:t>
      </w:r>
    </w:p>
    <w:p w:rsidR="00911283" w:rsidRDefault="00240CBF">
      <w:pPr>
        <w:ind w:firstLine="360"/>
      </w:pPr>
      <w:r>
        <w:rPr>
          <w:rFonts w:hint="eastAsia"/>
        </w:rPr>
        <w:t>为实现第一个概念</w:t>
      </w:r>
      <w:r>
        <w:rPr>
          <w:rFonts w:hint="eastAsia"/>
        </w:rPr>
        <w:t>,</w:t>
      </w:r>
      <w:r>
        <w:rPr>
          <w:rFonts w:hint="eastAsia"/>
        </w:rPr>
        <w:t>采用深度强化学习</w:t>
      </w:r>
      <w:r>
        <w:rPr>
          <w:rFonts w:hint="eastAsia"/>
        </w:rPr>
        <w:t>(DRL)</w:t>
      </w:r>
      <w:r>
        <w:rPr>
          <w:rFonts w:hint="eastAsia"/>
        </w:rPr>
        <w:t>算法以及深度策略梯度</w:t>
      </w:r>
      <w:r>
        <w:rPr>
          <w:rFonts w:hint="eastAsia"/>
        </w:rPr>
        <w:t>(DDPG),</w:t>
      </w:r>
      <w:r>
        <w:rPr>
          <w:rFonts w:hint="eastAsia"/>
        </w:rPr>
        <w:t>因为它不需要任何先验知识，而是通过与环境的交互获得增益的调整策略。为实现第二点，控制器有效增益范围应为</w:t>
      </w:r>
      <m:oMath>
        <m:r>
          <w:rPr>
            <w:rFonts w:ascii="Cambria Math" w:hAnsi="Cambria Math"/>
          </w:rPr>
          <m:t>[0,</m:t>
        </m:r>
        <m:sSub>
          <m:sSubPr>
            <m:ctrlPr>
              <w:rPr>
                <w:rFonts w:ascii="Cambria Math" w:hAnsi="Cambria Math"/>
              </w:rPr>
            </m:ctrlPr>
          </m:sSubPr>
          <m:e>
            <m:r>
              <w:rPr>
                <w:rFonts w:ascii="Cambria Math" w:hAnsi="Cambria Math"/>
              </w:rPr>
              <m:t>k</m:t>
            </m:r>
          </m:e>
          <m:sub>
            <m:r>
              <m:rPr>
                <m:nor/>
              </m:rPr>
              <m:t xml:space="preserve">base </m:t>
            </m:r>
          </m:sub>
        </m:sSub>
        <m:r>
          <w:rPr>
            <w:rFonts w:ascii="Cambria Math" w:hAnsi="Cambria Math"/>
          </w:rPr>
          <m:t>]</m:t>
        </m:r>
      </m:oMath>
      <w:r>
        <w:t>，</w:t>
      </w:r>
      <w:r>
        <w:rPr>
          <w:rFonts w:hint="eastAsia"/>
        </w:rPr>
        <w:t>其中</w:t>
      </w:r>
      <m:oMath>
        <m:sSub>
          <m:sSubPr>
            <m:ctrlPr>
              <w:rPr>
                <w:rFonts w:ascii="Cambria Math" w:hAnsi="Cambria Math"/>
              </w:rPr>
            </m:ctrlPr>
          </m:sSubPr>
          <m:e>
            <m:r>
              <w:rPr>
                <w:rFonts w:ascii="Cambria Math" w:hAnsi="Cambria Math"/>
              </w:rPr>
              <m:t>k</m:t>
            </m:r>
          </m:e>
          <m:sub>
            <m:r>
              <m:rPr>
                <m:nor/>
              </m:rPr>
              <m:t xml:space="preserve">base </m:t>
            </m:r>
          </m:sub>
        </m:sSub>
      </m:oMath>
      <w:r>
        <w:rPr>
          <w:rFonts w:hint="eastAsia"/>
        </w:rPr>
        <w:t>为基本增益，是通过</w:t>
      </w:r>
      <w:r>
        <w:rPr>
          <w:rFonts w:hint="eastAsia"/>
        </w:rPr>
        <w:t>PID</w:t>
      </w:r>
      <w:r>
        <w:rPr>
          <w:rFonts w:hint="eastAsia"/>
        </w:rPr>
        <w:t>增益调整方法如手动调整方法，</w:t>
      </w:r>
      <w:r>
        <w:rPr>
          <w:rFonts w:hint="eastAsia"/>
        </w:rPr>
        <w:t>ZN</w:t>
      </w:r>
      <w:r>
        <w:rPr>
          <w:rFonts w:hint="eastAsia"/>
        </w:rPr>
        <w:t>方法，或任何</w:t>
      </w:r>
      <w:r>
        <w:rPr>
          <w:rFonts w:hint="eastAsia"/>
        </w:rPr>
        <w:t>PID</w:t>
      </w:r>
      <w:r>
        <w:rPr>
          <w:rFonts w:hint="eastAsia"/>
        </w:rPr>
        <w:t>增益调整方法预调整增益。在这两条要求约束下，控制器必须在有限范围内输出，保证了其稳定性。该系统中的“微调”一词来自深度学习中的卷积神经网络。</w:t>
      </w:r>
    </w:p>
    <w:p w:rsidR="00911283" w:rsidRDefault="00240CBF">
      <w:r>
        <w:rPr>
          <w:rFonts w:hint="eastAsia"/>
        </w:rPr>
        <w:tab/>
      </w:r>
      <w:r>
        <w:rPr>
          <w:rFonts w:hint="eastAsia"/>
        </w:rPr>
        <w:t>有关深度强化学习（</w:t>
      </w:r>
      <w:r>
        <w:rPr>
          <w:rFonts w:hint="eastAsia"/>
        </w:rPr>
        <w:t>DRL</w:t>
      </w:r>
      <w:r>
        <w:rPr>
          <w:rFonts w:hint="eastAsia"/>
        </w:rPr>
        <w:t>）控制器的研究，其已经在机器人控制中得到应用，在</w:t>
      </w:r>
      <w:proofErr w:type="spellStart"/>
      <w:r>
        <w:rPr>
          <w:rFonts w:hint="eastAsia"/>
        </w:rPr>
        <w:t>Carlucho</w:t>
      </w:r>
      <w:proofErr w:type="spellEnd"/>
      <w:r>
        <w:rPr>
          <w:rFonts w:hint="eastAsia"/>
        </w:rPr>
        <w:t xml:space="preserve"> et al.(2020, 2019)</w:t>
      </w:r>
      <w:r>
        <w:rPr>
          <w:rFonts w:hint="eastAsia"/>
        </w:rPr>
        <w:t>和</w:t>
      </w:r>
      <w:proofErr w:type="spellStart"/>
      <w:r>
        <w:rPr>
          <w:rFonts w:hint="eastAsia"/>
        </w:rPr>
        <w:t>Gloye</w:t>
      </w:r>
      <w:proofErr w:type="spellEnd"/>
      <w:r>
        <w:rPr>
          <w:rFonts w:hint="eastAsia"/>
        </w:rPr>
        <w:t xml:space="preserve"> et al.(2005)</w:t>
      </w:r>
      <w:r>
        <w:rPr>
          <w:rFonts w:hint="eastAsia"/>
        </w:rPr>
        <w:t>的研究中，具有</w:t>
      </w:r>
      <w:r>
        <w:rPr>
          <w:rFonts w:hint="eastAsia"/>
        </w:rPr>
        <w:t>DRL</w:t>
      </w:r>
      <w:r>
        <w:rPr>
          <w:rFonts w:hint="eastAsia"/>
        </w:rPr>
        <w:t>的机器人通过自适应调整增益，成功地学会了通过快速收敛实现快速参考跟踪。接下来的部分主要讨论强化学习理论以及提出的自适应微调系统，然后给出了仿真结果和讨论。</w:t>
      </w:r>
    </w:p>
    <w:p w:rsidR="00911283" w:rsidRDefault="00240CBF">
      <w:pPr>
        <w:pStyle w:val="2"/>
      </w:pPr>
      <w:r>
        <w:rPr>
          <w:rFonts w:hint="eastAsia"/>
        </w:rPr>
        <w:t xml:space="preserve">3.1. </w:t>
      </w:r>
      <w:r>
        <w:rPr>
          <w:rFonts w:hint="eastAsia"/>
        </w:rPr>
        <w:t>强化学习理论</w:t>
      </w:r>
    </w:p>
    <w:p w:rsidR="00911283" w:rsidRDefault="00240CBF">
      <w:pPr>
        <w:ind w:firstLine="420"/>
      </w:pPr>
      <w:r>
        <w:rPr>
          <w:rFonts w:hint="eastAsia"/>
        </w:rPr>
        <w:t>在标准强化学习</w:t>
      </w:r>
      <w:r>
        <w:rPr>
          <w:rFonts w:hint="eastAsia"/>
        </w:rPr>
        <w:t>(RL)</w:t>
      </w:r>
      <w:r>
        <w:rPr>
          <w:rFonts w:hint="eastAsia"/>
        </w:rPr>
        <w:t>中，有一个代理和一个环境，代理与离散时间步相互作用。在每个时间步，代理接收一个状态</w:t>
      </w:r>
      <m:oMath>
        <m:sSub>
          <m:sSubPr>
            <m:ctrlPr>
              <w:rPr>
                <w:rFonts w:ascii="Cambria Math" w:hAnsi="Cambria Math"/>
              </w:rPr>
            </m:ctrlPr>
          </m:sSubPr>
          <m:e>
            <m:r>
              <w:rPr>
                <w:rFonts w:ascii="Cambria Math" w:hAnsi="Cambria Math"/>
              </w:rPr>
              <m:t>s</m:t>
            </m:r>
          </m:e>
          <m:sub>
            <m:r>
              <w:rPr>
                <w:rFonts w:ascii="Cambria Math" w:hAnsi="Cambria Math"/>
              </w:rPr>
              <m:t>t</m:t>
            </m:r>
          </m:sub>
        </m:sSub>
      </m:oMath>
      <w:r>
        <w:t>，</w:t>
      </w:r>
      <w:r>
        <w:rPr>
          <w:rFonts w:hint="eastAsia"/>
        </w:rPr>
        <w:t>采取一个行为</w:t>
      </w:r>
      <m:oMath>
        <m:sSub>
          <m:sSubPr>
            <m:ctrlPr>
              <w:rPr>
                <w:rFonts w:ascii="Cambria Math" w:hAnsi="Cambria Math"/>
              </w:rPr>
            </m:ctrlPr>
          </m:sSubPr>
          <m:e>
            <m:r>
              <w:rPr>
                <w:rFonts w:ascii="Cambria Math" w:hAnsi="Cambria Math" w:hint="eastAsia"/>
              </w:rPr>
              <m:t>a</m:t>
            </m:r>
          </m:e>
          <m:sub>
            <m:r>
              <w:rPr>
                <w:rFonts w:ascii="Cambria Math" w:hAnsi="Cambria Math"/>
              </w:rPr>
              <m:t>t</m:t>
            </m:r>
          </m:sub>
        </m:sSub>
      </m:oMath>
      <w:r>
        <w:t>，</w:t>
      </w:r>
      <w:r>
        <w:rPr>
          <w:rFonts w:hint="eastAsia"/>
        </w:rPr>
        <w:t>并且产生一个奖励</w:t>
      </w:r>
      <m:oMath>
        <m:sSub>
          <m:sSubPr>
            <m:ctrlPr>
              <w:rPr>
                <w:rFonts w:ascii="Cambria Math" w:hAnsi="Cambria Math"/>
              </w:rPr>
            </m:ctrlPr>
          </m:sSubPr>
          <m:e>
            <m:r>
              <w:rPr>
                <w:rFonts w:ascii="Cambria Math" w:hAnsi="Cambria Math" w:hint="eastAsia"/>
              </w:rPr>
              <m:t>r</m:t>
            </m:r>
          </m:e>
          <m:sub>
            <m:r>
              <w:rPr>
                <w:rFonts w:ascii="Cambria Math" w:hAnsi="Cambria Math"/>
              </w:rPr>
              <m:t>t</m:t>
            </m:r>
          </m:sub>
        </m:sSub>
      </m:oMath>
      <w:r>
        <w:t>，</w:t>
      </w:r>
      <w:r>
        <w:rPr>
          <w:rFonts w:hint="eastAsia"/>
        </w:rPr>
        <w:t>在每个周期产生顺序列的状态转换</w:t>
      </w:r>
      <m:oMath>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m:t>
        </m:r>
      </m:oMath>
      <w:r>
        <w:t>。</w:t>
      </w:r>
      <w:r>
        <w:rPr>
          <w:rFonts w:hint="eastAsia"/>
        </w:rPr>
        <w:t>采取的行为</w:t>
      </w:r>
      <m:oMath>
        <m:sSub>
          <m:sSubPr>
            <m:ctrlPr>
              <w:rPr>
                <w:rFonts w:ascii="Cambria Math" w:hAnsi="Cambria Math"/>
              </w:rPr>
            </m:ctrlPr>
          </m:sSubPr>
          <m:e>
            <m:r>
              <w:rPr>
                <w:rFonts w:ascii="Cambria Math" w:hAnsi="Cambria Math" w:hint="eastAsia"/>
              </w:rPr>
              <m:t>a</m:t>
            </m:r>
          </m:e>
          <m:sub>
            <m:r>
              <w:rPr>
                <w:rFonts w:ascii="Cambria Math" w:hAnsi="Cambria Math"/>
              </w:rPr>
              <m:t>t</m:t>
            </m:r>
          </m:sub>
        </m:sSub>
      </m:oMath>
      <w:r>
        <w:rPr>
          <w:rFonts w:hint="eastAsia"/>
        </w:rPr>
        <w:t>由π策略（即将状态</w:t>
      </w:r>
      <m:oMath>
        <m:sSub>
          <m:sSubPr>
            <m:ctrlPr>
              <w:rPr>
                <w:rFonts w:ascii="Cambria Math" w:hAnsi="Cambria Math"/>
              </w:rPr>
            </m:ctrlPr>
          </m:sSubPr>
          <m:e>
            <m:r>
              <w:rPr>
                <w:rFonts w:ascii="Cambria Math" w:hAnsi="Cambria Math"/>
              </w:rPr>
              <m:t>s</m:t>
            </m:r>
          </m:e>
          <m:sub>
            <m:r>
              <w:rPr>
                <w:rFonts w:ascii="Cambria Math" w:hAnsi="Cambria Math"/>
              </w:rPr>
              <m:t>t</m:t>
            </m:r>
          </m:sub>
        </m:sSub>
      </m:oMath>
      <w:r>
        <w:rPr>
          <w:rFonts w:hint="eastAsia"/>
        </w:rPr>
        <w:t>映射到每个动作的概率</w:t>
      </w:r>
      <m:oMath>
        <m:r>
          <m:rPr>
            <m:scr m:val="script"/>
          </m:rP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oMath>
      <w:r>
        <w:rPr>
          <w:rFonts w:hint="eastAsia"/>
        </w:rPr>
        <w:t>）决定，采用概率是因为需要确保在状态和动作空间中探索。代理的学习过程可用马尔科夫决策过程</w:t>
      </w:r>
      <w:r>
        <w:t>(Markov Decision process, MDP)</w:t>
      </w:r>
      <w:r>
        <w:rPr>
          <w:rFonts w:hint="eastAsia"/>
        </w:rPr>
        <w:t>数学定义。该过程的一般流程图如图</w:t>
      </w:r>
      <w:r>
        <w:rPr>
          <w:rFonts w:hint="eastAsia"/>
        </w:rPr>
        <w:t>3</w:t>
      </w:r>
      <w:r>
        <w:rPr>
          <w:rFonts w:hint="eastAsia"/>
        </w:rPr>
        <w:t>所示。在图中，随着代理与环境的持续交互，策略π可以通过最大化所获得的报酬来学习到越来越好的策略。</w:t>
      </w:r>
    </w:p>
    <w:tbl>
      <w:tblPr>
        <w:tblStyle w:val="a8"/>
        <w:tblW w:w="8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6136"/>
        <w:gridCol w:w="1161"/>
      </w:tblGrid>
      <w:tr w:rsidR="00911283">
        <w:trPr>
          <w:trHeight w:val="1001"/>
        </w:trPr>
        <w:tc>
          <w:tcPr>
            <w:tcW w:w="1526" w:type="dxa"/>
            <w:vAlign w:val="center"/>
          </w:tcPr>
          <w:p w:rsidR="00911283" w:rsidRDefault="00911283">
            <w:pPr>
              <w:jc w:val="center"/>
            </w:pPr>
          </w:p>
        </w:tc>
        <w:tc>
          <w:tcPr>
            <w:tcW w:w="5670" w:type="dxa"/>
            <w:vAlign w:val="center"/>
          </w:tcPr>
          <w:p w:rsidR="00911283" w:rsidRDefault="00240CBF">
            <w:pPr>
              <w:jc w:val="center"/>
            </w:pPr>
            <w:r>
              <w:object w:dxaOrig="5920" w:dyaOrig="2350">
                <v:shape id="_x0000_i1026" type="#_x0000_t75" style="width:296.05pt;height:117.65pt" o:ole="">
                  <v:imagedata r:id="rId11" o:title=""/>
                </v:shape>
                <o:OLEObject Type="Embed" ProgID="Visio.Drawing.15" ShapeID="_x0000_i1026" DrawAspect="Content" ObjectID="_1685892392" r:id="rId12"/>
              </w:object>
            </w:r>
          </w:p>
        </w:tc>
        <w:tc>
          <w:tcPr>
            <w:tcW w:w="1380" w:type="dxa"/>
            <w:vAlign w:val="center"/>
          </w:tcPr>
          <w:p w:rsidR="00911283" w:rsidRDefault="00911283">
            <w:pPr>
              <w:jc w:val="center"/>
            </w:pPr>
          </w:p>
        </w:tc>
      </w:tr>
      <w:tr w:rsidR="00911283">
        <w:trPr>
          <w:trHeight w:val="1001"/>
        </w:trPr>
        <w:tc>
          <w:tcPr>
            <w:tcW w:w="1526" w:type="dxa"/>
            <w:vAlign w:val="center"/>
          </w:tcPr>
          <w:p w:rsidR="00911283" w:rsidRDefault="00911283">
            <w:pPr>
              <w:jc w:val="center"/>
            </w:pPr>
          </w:p>
        </w:tc>
        <w:tc>
          <w:tcPr>
            <w:tcW w:w="5670" w:type="dxa"/>
            <w:vAlign w:val="center"/>
          </w:tcPr>
          <w:p w:rsidR="00911283" w:rsidRDefault="00240CBF">
            <w:pPr>
              <w:jc w:val="center"/>
              <w:rPr>
                <w:rStyle w:val="10"/>
              </w:rPr>
            </w:pPr>
            <w:r>
              <w:rPr>
                <w:rStyle w:val="10"/>
                <w:rFonts w:hint="eastAsia"/>
              </w:rPr>
              <w:t>图（</w:t>
            </w:r>
            <w:r>
              <w:rPr>
                <w:rStyle w:val="10"/>
                <w:rFonts w:hint="eastAsia"/>
              </w:rPr>
              <w:t>3</w:t>
            </w:r>
            <w:r>
              <w:rPr>
                <w:rStyle w:val="10"/>
                <w:rFonts w:hint="eastAsia"/>
              </w:rPr>
              <w:t>）代理使用</w:t>
            </w:r>
            <w:r>
              <w:rPr>
                <w:rStyle w:val="10"/>
                <w:rFonts w:hint="eastAsia"/>
              </w:rPr>
              <w:t>MDP</w:t>
            </w:r>
            <w:r>
              <w:rPr>
                <w:rStyle w:val="10"/>
                <w:rFonts w:hint="eastAsia"/>
              </w:rPr>
              <w:t>的学习过程</w:t>
            </w:r>
          </w:p>
        </w:tc>
        <w:tc>
          <w:tcPr>
            <w:tcW w:w="1380" w:type="dxa"/>
            <w:vAlign w:val="center"/>
          </w:tcPr>
          <w:p w:rsidR="00911283" w:rsidRDefault="00911283">
            <w:pPr>
              <w:jc w:val="center"/>
            </w:pPr>
          </w:p>
        </w:tc>
      </w:tr>
    </w:tbl>
    <w:p w:rsidR="00911283" w:rsidRDefault="00240CBF">
      <w:pPr>
        <w:ind w:firstLine="420"/>
      </w:pPr>
      <w:r>
        <w:rPr>
          <w:rFonts w:hint="eastAsia"/>
        </w:rPr>
        <w:lastRenderedPageBreak/>
        <w:t>许多</w:t>
      </w:r>
      <w:r>
        <w:rPr>
          <w:rFonts w:hint="eastAsia"/>
        </w:rPr>
        <w:t>RL</w:t>
      </w:r>
      <w:r>
        <w:rPr>
          <w:rFonts w:hint="eastAsia"/>
        </w:rPr>
        <w:t>算法都采用动作值函数（即</w:t>
      </w:r>
      <w:r>
        <w:rPr>
          <w:rFonts w:hint="eastAsia"/>
        </w:rPr>
        <w:t>Q</w:t>
      </w:r>
      <w:r>
        <w:rPr>
          <w:rFonts w:hint="eastAsia"/>
        </w:rPr>
        <w:t>函数）。该函数返回预期的奖励值</w:t>
      </w:r>
      <m:oMath>
        <m:sSub>
          <m:sSubPr>
            <m:ctrlPr>
              <w:rPr>
                <w:rFonts w:ascii="Cambria Math" w:hAnsi="Cambria Math"/>
              </w:rPr>
            </m:ctrlPr>
          </m:sSubPr>
          <m:e>
            <m:r>
              <w:rPr>
                <w:rFonts w:ascii="Cambria Math" w:hAnsi="Cambria Math"/>
              </w:rPr>
              <m:t>G</m:t>
            </m:r>
          </m:e>
          <m:sub>
            <m:r>
              <w:rPr>
                <w:rFonts w:ascii="Cambria Math" w:hAnsi="Cambria Math"/>
              </w:rPr>
              <m:t>t</m:t>
            </m:r>
          </m:sub>
        </m:sSub>
      </m:oMath>
      <w:r>
        <w:rPr>
          <w:rFonts w:hint="eastAsia"/>
        </w:rPr>
        <w:t>如式</w:t>
      </w:r>
      <w:r>
        <w:rPr>
          <w:rFonts w:hint="eastAsia"/>
        </w:rPr>
        <w:t>5</w:t>
      </w:r>
      <w:r>
        <w:rPr>
          <w:rFonts w:hint="eastAsia"/>
        </w:rPr>
        <w:t>。</w:t>
      </w:r>
    </w:p>
    <w:tbl>
      <w:tblPr>
        <w:tblStyle w:val="a8"/>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4820"/>
        <w:gridCol w:w="1984"/>
      </w:tblGrid>
      <w:tr w:rsidR="00911283">
        <w:trPr>
          <w:trHeight w:val="538"/>
        </w:trPr>
        <w:tc>
          <w:tcPr>
            <w:tcW w:w="1809" w:type="dxa"/>
            <w:vAlign w:val="center"/>
          </w:tcPr>
          <w:p w:rsidR="00911283" w:rsidRDefault="00911283">
            <w:pPr>
              <w:jc w:val="center"/>
            </w:pPr>
          </w:p>
        </w:tc>
        <w:tc>
          <w:tcPr>
            <w:tcW w:w="4820" w:type="dxa"/>
            <w:vAlign w:val="center"/>
          </w:tcPr>
          <w:p w:rsidR="00911283" w:rsidRDefault="00240CBF">
            <w:pPr>
              <w:jc w:val="center"/>
            </w:pPr>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i=t</m:t>
                    </m:r>
                  </m:sub>
                  <m:sup>
                    <m:r>
                      <w:rPr>
                        <w:rFonts w:ascii="Cambria Math" w:hAnsi="Cambria Math"/>
                      </w:rPr>
                      <m:t>T</m:t>
                    </m:r>
                  </m:sup>
                  <m:e>
                    <m:sSup>
                      <m:sSupPr>
                        <m:ctrlPr>
                          <w:rPr>
                            <w:rFonts w:ascii="Cambria Math" w:hAnsi="Cambria Math"/>
                          </w:rPr>
                        </m:ctrlPr>
                      </m:sSupPr>
                      <m:e>
                        <m:r>
                          <w:rPr>
                            <w:rFonts w:ascii="Cambria Math" w:hAnsi="Cambria Math"/>
                          </w:rPr>
                          <m:t>γ</m:t>
                        </m:r>
                      </m:e>
                      <m:sup>
                        <m:r>
                          <w:rPr>
                            <w:rFonts w:ascii="Cambria Math" w:hAnsi="Cambria Math"/>
                          </w:rPr>
                          <m:t>(i-t)</m:t>
                        </m:r>
                      </m:sup>
                    </m:sSup>
                  </m:e>
                </m:nary>
                <m:r>
                  <w:rPr>
                    <w:rFonts w:ascii="Cambria Math" w:hAnsi="Cambria Math"/>
                  </w:rPr>
                  <m:t>r(</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);γ∈[0,1]</m:t>
                </m:r>
              </m:oMath>
            </m:oMathPara>
          </w:p>
        </w:tc>
        <w:tc>
          <w:tcPr>
            <w:tcW w:w="1984" w:type="dxa"/>
            <w:vAlign w:val="center"/>
          </w:tcPr>
          <w:p w:rsidR="00911283" w:rsidRDefault="00240CBF">
            <w:pPr>
              <w:jc w:val="right"/>
            </w:pPr>
            <w:r>
              <w:rPr>
                <w:rFonts w:hint="eastAsia"/>
              </w:rPr>
              <w:t>（</w:t>
            </w:r>
            <w:r>
              <w:rPr>
                <w:rFonts w:hint="eastAsia"/>
              </w:rPr>
              <w:t>5</w:t>
            </w:r>
            <w:r>
              <w:rPr>
                <w:rFonts w:hint="eastAsia"/>
              </w:rPr>
              <w:t>）</w:t>
            </w:r>
          </w:p>
        </w:tc>
      </w:tr>
    </w:tbl>
    <w:p w:rsidR="00911283" w:rsidRDefault="00240CBF">
      <w:r>
        <w:rPr>
          <w:rFonts w:hint="eastAsia"/>
        </w:rPr>
        <w:t>其中γ是一个折现因子，用于考虑在系统侧重于未来的高回报还是当下的利益。</w:t>
      </w:r>
      <w:r>
        <w:rPr>
          <w:rFonts w:hint="eastAsia"/>
        </w:rPr>
        <w:t>Q</w:t>
      </w:r>
      <w:r>
        <w:rPr>
          <w:rFonts w:hint="eastAsia"/>
        </w:rPr>
        <w:t>函数可以用</w:t>
      </w:r>
      <w:r>
        <w:rPr>
          <w:rFonts w:hint="eastAsia"/>
        </w:rPr>
        <w:t>Bellman</w:t>
      </w:r>
      <w:r>
        <w:rPr>
          <w:rFonts w:hint="eastAsia"/>
        </w:rPr>
        <w:t>方程</w:t>
      </w:r>
      <w:r>
        <w:rPr>
          <w:rFonts w:hint="eastAsia"/>
        </w:rPr>
        <w:t>(Bellman, 1954)</w:t>
      </w:r>
      <w:r>
        <w:rPr>
          <w:rFonts w:hint="eastAsia"/>
        </w:rPr>
        <w:t>写成递归的形式：</w:t>
      </w:r>
    </w:p>
    <w:tbl>
      <w:tblPr>
        <w:tblStyle w:val="a8"/>
        <w:tblW w:w="86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670"/>
        <w:gridCol w:w="1559"/>
      </w:tblGrid>
      <w:tr w:rsidR="00911283">
        <w:trPr>
          <w:trHeight w:val="538"/>
          <w:jc w:val="center"/>
        </w:trPr>
        <w:tc>
          <w:tcPr>
            <w:tcW w:w="1384" w:type="dxa"/>
            <w:vAlign w:val="center"/>
          </w:tcPr>
          <w:p w:rsidR="00911283" w:rsidRDefault="00911283">
            <w:pPr>
              <w:jc w:val="center"/>
            </w:pPr>
          </w:p>
        </w:tc>
        <w:tc>
          <w:tcPr>
            <w:tcW w:w="5670" w:type="dxa"/>
            <w:vAlign w:val="center"/>
          </w:tcPr>
          <w:p w:rsidR="00911283" w:rsidRDefault="00240CBF">
            <w:pPr>
              <w:jc w:val="center"/>
            </w:pPr>
            <m:oMathPara>
              <m:oMath>
                <m:sSub>
                  <m:sSubPr>
                    <m:ctrlPr>
                      <w:rPr>
                        <w:rFonts w:ascii="Cambria Math" w:hAnsi="Cambria Math"/>
                      </w:rPr>
                    </m:ctrlPr>
                  </m:sSubPr>
                  <m:e>
                    <m:r>
                      <w:rPr>
                        <w:rFonts w:ascii="Cambria Math" w:hAnsi="Cambria Math"/>
                      </w:rPr>
                      <m:t>Q</m:t>
                    </m:r>
                  </m:e>
                  <m:sub>
                    <m:r>
                      <w:rPr>
                        <w:rFonts w:ascii="Cambria Math" w:hAnsi="Cambria Math"/>
                      </w:rPr>
                      <m:t>π</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∼E</m:t>
                    </m:r>
                  </m:sub>
                </m:sSub>
                <m:r>
                  <w:rPr>
                    <w:rFonts w:ascii="Cambria Math" w:hAnsi="Cambria Math"/>
                  </w:rPr>
                  <m:t>[r(</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)+γ</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w:rPr>
                            <w:rFonts w:ascii="Cambria Math" w:hAnsi="Cambria Math"/>
                          </w:rPr>
                          <m:t>a</m:t>
                        </m:r>
                      </m:e>
                      <m:sub>
                        <m:r>
                          <w:rPr>
                            <w:rFonts w:ascii="Cambria Math" w:hAnsi="Cambria Math"/>
                          </w:rPr>
                          <m:t>t+1</m:t>
                        </m:r>
                      </m:sub>
                    </m:sSub>
                    <m:r>
                      <w:rPr>
                        <w:rFonts w:ascii="Cambria Math" w:hAnsi="Cambria Math"/>
                      </w:rPr>
                      <m:t>∼π</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π</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t+1</m:t>
                    </m:r>
                  </m:sub>
                </m:sSub>
                <m:r>
                  <w:rPr>
                    <w:rFonts w:ascii="Cambria Math" w:hAnsi="Cambria Math"/>
                  </w:rPr>
                  <m:t>)]]</m:t>
                </m:r>
              </m:oMath>
            </m:oMathPara>
          </w:p>
        </w:tc>
        <w:tc>
          <w:tcPr>
            <w:tcW w:w="1559" w:type="dxa"/>
            <w:vAlign w:val="center"/>
          </w:tcPr>
          <w:p w:rsidR="00911283" w:rsidRDefault="00240CBF">
            <w:pPr>
              <w:jc w:val="right"/>
            </w:pPr>
            <w:r>
              <w:rPr>
                <w:rFonts w:hint="eastAsia"/>
              </w:rPr>
              <w:t>（</w:t>
            </w:r>
            <w:r>
              <w:rPr>
                <w:rFonts w:hint="eastAsia"/>
              </w:rPr>
              <w:t>6</w:t>
            </w:r>
            <w:r>
              <w:rPr>
                <w:rFonts w:hint="eastAsia"/>
              </w:rPr>
              <w:t>）</w:t>
            </w:r>
          </w:p>
        </w:tc>
      </w:tr>
      <w:tr w:rsidR="00911283">
        <w:trPr>
          <w:trHeight w:val="538"/>
          <w:jc w:val="center"/>
        </w:trPr>
        <w:tc>
          <w:tcPr>
            <w:tcW w:w="1384" w:type="dxa"/>
            <w:vAlign w:val="center"/>
          </w:tcPr>
          <w:p w:rsidR="00911283" w:rsidRDefault="00911283">
            <w:pPr>
              <w:jc w:val="center"/>
            </w:pPr>
          </w:p>
        </w:tc>
        <w:tc>
          <w:tcPr>
            <w:tcW w:w="5670" w:type="dxa"/>
            <w:vAlign w:val="center"/>
          </w:tcPr>
          <w:p w:rsidR="00911283" w:rsidRDefault="00240CBF">
            <w:pPr>
              <w:jc w:val="center"/>
            </w:pPr>
            <m:oMathPara>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=r(</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oMath>
            </m:oMathPara>
          </w:p>
        </w:tc>
        <w:tc>
          <w:tcPr>
            <w:tcW w:w="1559" w:type="dxa"/>
            <w:vAlign w:val="center"/>
          </w:tcPr>
          <w:p w:rsidR="00911283" w:rsidRDefault="00240CBF">
            <w:pPr>
              <w:jc w:val="right"/>
            </w:pPr>
            <w:r>
              <w:rPr>
                <w:rFonts w:hint="eastAsia"/>
              </w:rPr>
              <w:t>（</w:t>
            </w:r>
            <w:r>
              <w:rPr>
                <w:rFonts w:hint="eastAsia"/>
              </w:rPr>
              <w:t>7</w:t>
            </w:r>
            <w:r>
              <w:rPr>
                <w:rFonts w:hint="eastAsia"/>
              </w:rPr>
              <w:t>）</w:t>
            </w:r>
          </w:p>
        </w:tc>
      </w:tr>
    </w:tbl>
    <w:p w:rsidR="00911283" w:rsidRDefault="00240CBF">
      <w:r>
        <w:rPr>
          <w:rFonts w:hint="eastAsia"/>
        </w:rPr>
        <w:t>如果用确定的策略μ将状态</w:t>
      </w:r>
      <m:oMath>
        <m:sSub>
          <m:sSubPr>
            <m:ctrlPr>
              <w:rPr>
                <w:rFonts w:ascii="Cambria Math" w:hAnsi="Cambria Math"/>
              </w:rPr>
            </m:ctrlPr>
          </m:sSubPr>
          <m:e>
            <m:r>
              <w:rPr>
                <w:rFonts w:ascii="Cambria Math" w:hAnsi="Cambria Math"/>
              </w:rPr>
              <m:t>s</m:t>
            </m:r>
          </m:e>
          <m:sub>
            <m:r>
              <w:rPr>
                <w:rFonts w:ascii="Cambria Math" w:hAnsi="Cambria Math"/>
              </w:rPr>
              <m:t>t</m:t>
            </m:r>
          </m:sub>
        </m:sSub>
      </m:oMath>
      <w:r>
        <w:rPr>
          <w:rFonts w:hint="eastAsia"/>
        </w:rPr>
        <w:t>映射到每个动作</w:t>
      </w:r>
      <m:oMath>
        <m:sSub>
          <m:sSubPr>
            <m:ctrlPr>
              <w:rPr>
                <w:rFonts w:ascii="Cambria Math" w:hAnsi="Cambria Math"/>
              </w:rPr>
            </m:ctrlPr>
          </m:sSubPr>
          <m:e>
            <m:r>
              <w:rPr>
                <w:rFonts w:ascii="Cambria Math" w:hAnsi="Cambria Math" w:hint="eastAsia"/>
              </w:rPr>
              <m:t>a</m:t>
            </m:r>
          </m:e>
          <m:sub>
            <m:r>
              <w:rPr>
                <w:rFonts w:ascii="Cambria Math" w:hAnsi="Cambria Math"/>
              </w:rPr>
              <m:t>t</m:t>
            </m:r>
          </m:sub>
        </m:sSub>
      </m:oMath>
      <w:r>
        <w:t>，</w:t>
      </w:r>
      <w:proofErr w:type="gramStart"/>
      <w:r>
        <w:rPr>
          <w:rFonts w:hint="eastAsia"/>
        </w:rPr>
        <w:t>则式</w:t>
      </w:r>
      <w:proofErr w:type="gramEnd"/>
      <w:r>
        <w:rPr>
          <w:rFonts w:hint="eastAsia"/>
        </w:rPr>
        <w:t>6</w:t>
      </w:r>
      <w:r>
        <w:rPr>
          <w:rFonts w:hint="eastAsia"/>
        </w:rPr>
        <w:t>可写为式</w:t>
      </w:r>
      <w:r>
        <w:rPr>
          <w:rFonts w:hint="eastAsia"/>
        </w:rPr>
        <w:t>8</w:t>
      </w:r>
      <w:r>
        <w:rPr>
          <w:rFonts w:hint="eastAsia"/>
        </w:rPr>
        <w:t>。</w:t>
      </w:r>
    </w:p>
    <w:tbl>
      <w:tblPr>
        <w:tblStyle w:val="a8"/>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670"/>
        <w:gridCol w:w="1559"/>
      </w:tblGrid>
      <w:tr w:rsidR="00911283">
        <w:trPr>
          <w:trHeight w:val="538"/>
        </w:trPr>
        <w:tc>
          <w:tcPr>
            <w:tcW w:w="1384" w:type="dxa"/>
            <w:vAlign w:val="center"/>
          </w:tcPr>
          <w:p w:rsidR="00911283" w:rsidRDefault="00911283">
            <w:pPr>
              <w:jc w:val="center"/>
            </w:pPr>
          </w:p>
        </w:tc>
        <w:tc>
          <w:tcPr>
            <w:tcW w:w="5670" w:type="dxa"/>
            <w:vAlign w:val="center"/>
          </w:tcPr>
          <w:p w:rsidR="00911283" w:rsidRDefault="00240CBF">
            <w:pPr>
              <w:jc w:val="center"/>
            </w:pPr>
            <m:oMathPara>
              <m:oMath>
                <m:sSub>
                  <m:sSubPr>
                    <m:ctrlPr>
                      <w:rPr>
                        <w:rFonts w:ascii="Cambria Math" w:hAnsi="Cambria Math"/>
                      </w:rPr>
                    </m:ctrlPr>
                  </m:sSubPr>
                  <m:e>
                    <m:r>
                      <w:rPr>
                        <w:rFonts w:ascii="Cambria Math" w:hAnsi="Cambria Math"/>
                      </w:rPr>
                      <m:t>Q</m:t>
                    </m:r>
                  </m:e>
                  <m:sub>
                    <m:r>
                      <w:rPr>
                        <w:rFonts w:ascii="Cambria Math" w:hAnsi="Cambria Math"/>
                      </w:rPr>
                      <m:t>μ</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∼E</m:t>
                    </m:r>
                  </m:sub>
                </m:sSub>
                <m:r>
                  <w:rPr>
                    <w:rFonts w:ascii="Cambria Math" w:hAnsi="Cambria Math"/>
                  </w:rPr>
                  <m:t>[r(</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)+γ</m:t>
                </m:r>
                <m:sSub>
                  <m:sSubPr>
                    <m:ctrlPr>
                      <w:rPr>
                        <w:rFonts w:ascii="Cambria Math" w:hAnsi="Cambria Math"/>
                      </w:rPr>
                    </m:ctrlPr>
                  </m:sSubPr>
                  <m:e>
                    <m:r>
                      <w:rPr>
                        <w:rFonts w:ascii="Cambria Math" w:hAnsi="Cambria Math"/>
                      </w:rPr>
                      <m:t>Q</m:t>
                    </m:r>
                  </m:e>
                  <m:sub>
                    <m:r>
                      <w:rPr>
                        <w:rFonts w:ascii="Cambria Math" w:hAnsi="Cambria Math"/>
                      </w:rPr>
                      <m:t>μ</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,μ(</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oMath>
            </m:oMathPara>
          </w:p>
        </w:tc>
        <w:tc>
          <w:tcPr>
            <w:tcW w:w="1559" w:type="dxa"/>
            <w:vAlign w:val="center"/>
          </w:tcPr>
          <w:p w:rsidR="00911283" w:rsidRDefault="00240CBF">
            <w:pPr>
              <w:jc w:val="right"/>
            </w:pPr>
            <w:r>
              <w:rPr>
                <w:rFonts w:hint="eastAsia"/>
              </w:rPr>
              <w:t>（</w:t>
            </w:r>
            <w:r>
              <w:rPr>
                <w:rFonts w:hint="eastAsia"/>
              </w:rPr>
              <w:t>8</w:t>
            </w:r>
            <w:r>
              <w:rPr>
                <w:rFonts w:hint="eastAsia"/>
              </w:rPr>
              <w:t>）</w:t>
            </w:r>
          </w:p>
        </w:tc>
      </w:tr>
    </w:tbl>
    <w:p w:rsidR="00911283" w:rsidRDefault="00240CBF">
      <w:r>
        <w:rPr>
          <w:rFonts w:hint="eastAsia"/>
        </w:rPr>
        <w:t>其中</w:t>
      </w:r>
      <m:oMath>
        <m:sSub>
          <m:sSubPr>
            <m:ctrlPr>
              <w:rPr>
                <w:rFonts w:ascii="Cambria Math" w:hAnsi="Cambria Math"/>
              </w:rPr>
            </m:ctrlPr>
          </m:sSubPr>
          <m:e>
            <m:r>
              <w:rPr>
                <w:rFonts w:ascii="Cambria Math" w:hAnsi="Cambria Math"/>
              </w:rPr>
              <m:t>Q</m:t>
            </m:r>
          </m:e>
          <m:sub>
            <m:r>
              <w:rPr>
                <w:rFonts w:ascii="Cambria Math" w:hAnsi="Cambria Math"/>
              </w:rPr>
              <m:t>μ</m:t>
            </m:r>
          </m:sub>
        </m:sSub>
      </m:oMath>
      <w:r>
        <w:rPr>
          <w:rFonts w:hint="eastAsia"/>
        </w:rPr>
        <w:t>可以通过</w:t>
      </w:r>
      <w:r>
        <w:rPr>
          <w:rFonts w:hint="eastAsia"/>
        </w:rPr>
        <w:t>Watkins</w:t>
      </w:r>
      <w:r>
        <w:rPr>
          <w:rFonts w:hint="eastAsia"/>
        </w:rPr>
        <w:t>和</w:t>
      </w:r>
      <w:r>
        <w:rPr>
          <w:rFonts w:hint="eastAsia"/>
        </w:rPr>
        <w:t>Dayan(1992)</w:t>
      </w:r>
      <w:r>
        <w:rPr>
          <w:rFonts w:hint="eastAsia"/>
        </w:rPr>
        <w:t>提出的一种称为</w:t>
      </w:r>
      <w:r>
        <w:rPr>
          <w:rFonts w:hint="eastAsia"/>
        </w:rPr>
        <w:t>Q- learning</w:t>
      </w:r>
      <w:r>
        <w:rPr>
          <w:rFonts w:hint="eastAsia"/>
        </w:rPr>
        <w:t>的非策略学习算法来学习，即由潜在不同的随机行为策略β生成其转换</w:t>
      </w:r>
      <m:oMath>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m:t>
        </m:r>
      </m:oMath>
      <w:r>
        <w:t>，</w:t>
      </w:r>
      <w:r>
        <w:rPr>
          <w:rFonts w:hint="eastAsia"/>
        </w:rPr>
        <w:t>其策略可使用贪婪算法</w:t>
      </w:r>
      <m:oMath>
        <m:r>
          <w:rPr>
            <w:rFonts w:ascii="Cambria Math" w:hAnsi="Cambria Math"/>
          </w:rPr>
          <m:t>μ(s)=</m:t>
        </m:r>
        <m:sSub>
          <m:sSubPr>
            <m:ctrlPr>
              <w:rPr>
                <w:rFonts w:ascii="Cambria Math" w:hAnsi="Cambria Math"/>
              </w:rPr>
            </m:ctrlPr>
          </m:sSubPr>
          <m:e>
            <m:r>
              <m:rPr>
                <m:sty m:val="p"/>
              </m:rPr>
              <w:rPr>
                <w:rFonts w:ascii="Cambria Math" w:hAnsi="Cambria Math"/>
              </w:rPr>
              <m:t>argmax</m:t>
            </m:r>
          </m:e>
          <m:sub>
            <m:r>
              <w:rPr>
                <w:rFonts w:ascii="Cambria Math" w:hAnsi="Cambria Math"/>
              </w:rPr>
              <m:t>a</m:t>
            </m:r>
          </m:sub>
        </m:sSub>
        <m:r>
          <w:rPr>
            <w:rFonts w:ascii="Cambria Math" w:hAnsi="Cambria Math"/>
          </w:rPr>
          <m:t>⁡Q(s,a)</m:t>
        </m:r>
      </m:oMath>
      <w:r>
        <w:t>。</w:t>
      </w:r>
      <w:r>
        <w:rPr>
          <w:rFonts w:hint="eastAsia"/>
        </w:rPr>
        <w:t>Q</w:t>
      </w:r>
      <w:r>
        <w:rPr>
          <w:rFonts w:hint="eastAsia"/>
        </w:rPr>
        <w:t>学习的目标是学习一种策略，使期望</w:t>
      </w:r>
      <w:r>
        <w:rPr>
          <w:rFonts w:hint="eastAsia"/>
        </w:rPr>
        <w:t>Q</w:t>
      </w:r>
      <w:r>
        <w:rPr>
          <w:rFonts w:hint="eastAsia"/>
        </w:rPr>
        <w:t>函数最大化。但是</w:t>
      </w:r>
      <w:r>
        <w:rPr>
          <w:rFonts w:hint="eastAsia"/>
        </w:rPr>
        <w:t>Q</w:t>
      </w:r>
      <w:r>
        <w:rPr>
          <w:rFonts w:hint="eastAsia"/>
        </w:rPr>
        <w:t>学习的难度会随着状态</w:t>
      </w:r>
      <w:r>
        <w:rPr>
          <w:rFonts w:hint="eastAsia"/>
        </w:rPr>
        <w:t>-</w:t>
      </w:r>
      <w:r>
        <w:rPr>
          <w:rFonts w:hint="eastAsia"/>
        </w:rPr>
        <w:t>奖励空间的增大而提高。因此，通常使用神经网络作为</w:t>
      </w:r>
      <w:r>
        <w:rPr>
          <w:rFonts w:hint="eastAsia"/>
        </w:rPr>
        <w:t>Q</w:t>
      </w:r>
      <w:r>
        <w:rPr>
          <w:rFonts w:hint="eastAsia"/>
        </w:rPr>
        <w:t>函数的模拟器。该模拟器由</w:t>
      </w:r>
      <m:oMath>
        <m:sSup>
          <m:sSupPr>
            <m:ctrlPr>
              <w:rPr>
                <w:rFonts w:ascii="Cambria Math" w:hAnsi="Cambria Math"/>
              </w:rPr>
            </m:ctrlPr>
          </m:sSupPr>
          <m:e>
            <m:r>
              <w:rPr>
                <w:rFonts w:ascii="Cambria Math" w:hAnsi="Cambria Math"/>
              </w:rPr>
              <m:t>θ</m:t>
            </m:r>
          </m:e>
          <m:sup>
            <m:r>
              <w:rPr>
                <w:rFonts w:ascii="Cambria Math" w:hAnsi="Cambria Math"/>
              </w:rPr>
              <m:t>Q</m:t>
            </m:r>
          </m:sup>
        </m:sSup>
      </m:oMath>
      <w:r>
        <w:rPr>
          <w:rFonts w:hint="eastAsia"/>
        </w:rPr>
        <w:t>参数化，可以通过最小化下面的损失函数</w:t>
      </w:r>
      <m:oMath>
        <m:r>
          <w:rPr>
            <w:rFonts w:ascii="Cambria Math" w:hAnsi="Cambria Math"/>
          </w:rPr>
          <m:t>L(</m:t>
        </m:r>
        <m:sSup>
          <m:sSupPr>
            <m:ctrlPr>
              <w:rPr>
                <w:rFonts w:ascii="Cambria Math" w:hAnsi="Cambria Math"/>
              </w:rPr>
            </m:ctrlPr>
          </m:sSupPr>
          <m:e>
            <m:r>
              <w:rPr>
                <w:rFonts w:ascii="Cambria Math" w:hAnsi="Cambria Math"/>
              </w:rPr>
              <m:t>θ</m:t>
            </m:r>
          </m:e>
          <m:sup>
            <m:r>
              <w:rPr>
                <w:rFonts w:ascii="Cambria Math" w:hAnsi="Cambria Math"/>
              </w:rPr>
              <m:t>Q</m:t>
            </m:r>
          </m:sup>
        </m:sSup>
        <m:r>
          <w:rPr>
            <w:rFonts w:ascii="Cambria Math" w:hAnsi="Cambria Math"/>
          </w:rPr>
          <m:t>)</m:t>
        </m:r>
      </m:oMath>
      <w:r>
        <w:rPr>
          <w:rFonts w:hint="eastAsia"/>
        </w:rPr>
        <w:t>来优化。</w:t>
      </w:r>
    </w:p>
    <w:tbl>
      <w:tblPr>
        <w:tblStyle w:val="a8"/>
        <w:tblW w:w="86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670"/>
        <w:gridCol w:w="1559"/>
      </w:tblGrid>
      <w:tr w:rsidR="00911283">
        <w:trPr>
          <w:trHeight w:val="538"/>
          <w:jc w:val="center"/>
        </w:trPr>
        <w:tc>
          <w:tcPr>
            <w:tcW w:w="1384" w:type="dxa"/>
            <w:vAlign w:val="center"/>
          </w:tcPr>
          <w:p w:rsidR="00911283" w:rsidRDefault="00911283">
            <w:pPr>
              <w:jc w:val="center"/>
            </w:pPr>
          </w:p>
        </w:tc>
        <w:tc>
          <w:tcPr>
            <w:tcW w:w="5670" w:type="dxa"/>
            <w:vAlign w:val="center"/>
          </w:tcPr>
          <w:p w:rsidR="00911283" w:rsidRDefault="00240CBF">
            <w:pPr>
              <w:jc w:val="center"/>
            </w:pPr>
            <m:oMathPara>
              <m:oMath>
                <m:r>
                  <w:rPr>
                    <w:rFonts w:ascii="Cambria Math" w:hAnsi="Cambria Math"/>
                  </w:rPr>
                  <m:t>L(</m:t>
                </m:r>
                <m:sSup>
                  <m:sSupPr>
                    <m:ctrlPr>
                      <w:rPr>
                        <w:rFonts w:ascii="Cambria Math" w:hAnsi="Cambria Math"/>
                      </w:rPr>
                    </m:ctrlPr>
                  </m:sSupPr>
                  <m:e>
                    <m:r>
                      <w:rPr>
                        <w:rFonts w:ascii="Cambria Math" w:hAnsi="Cambria Math"/>
                      </w:rPr>
                      <m:t>θ</m:t>
                    </m:r>
                  </m:e>
                  <m:sup>
                    <m:r>
                      <w:rPr>
                        <w:rFonts w:ascii="Cambria Math" w:hAnsi="Cambria Math"/>
                      </w:rPr>
                      <m:t>Q</m:t>
                    </m:r>
                  </m:sup>
                </m:sSup>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β</m:t>
                        </m:r>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∼β,</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∼E</m:t>
                    </m:r>
                  </m:sub>
                </m:sSub>
                <m:r>
                  <w:rPr>
                    <w:rFonts w:ascii="Cambria Math" w:hAnsi="Cambria Math"/>
                  </w:rPr>
                  <m:t>[</m:t>
                </m:r>
                <m:sSup>
                  <m:sSupPr>
                    <m:ctrlPr>
                      <w:rPr>
                        <w:rFonts w:ascii="Cambria Math" w:hAnsi="Cambria Math"/>
                      </w:rPr>
                    </m:ctrlPr>
                  </m:sSupPr>
                  <m:e>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Q</m:t>
                        </m:r>
                      </m:sup>
                    </m:s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2</m:t>
                    </m:r>
                  </m:sup>
                </m:sSup>
                <m:r>
                  <w:rPr>
                    <w:rFonts w:ascii="Cambria Math" w:hAnsi="Cambria Math"/>
                  </w:rPr>
                  <m:t>]</m:t>
                </m:r>
              </m:oMath>
            </m:oMathPara>
          </w:p>
        </w:tc>
        <w:tc>
          <w:tcPr>
            <w:tcW w:w="1559" w:type="dxa"/>
            <w:vAlign w:val="center"/>
          </w:tcPr>
          <w:p w:rsidR="00911283" w:rsidRDefault="00240CBF">
            <w:pPr>
              <w:jc w:val="right"/>
            </w:pPr>
            <w:r>
              <w:rPr>
                <w:rFonts w:hint="eastAsia"/>
              </w:rPr>
              <w:t>（</w:t>
            </w:r>
            <w:r>
              <w:rPr>
                <w:rFonts w:hint="eastAsia"/>
              </w:rPr>
              <w:t>9</w:t>
            </w:r>
            <w:r>
              <w:rPr>
                <w:rFonts w:hint="eastAsia"/>
              </w:rPr>
              <w:t>）</w:t>
            </w:r>
          </w:p>
        </w:tc>
      </w:tr>
      <w:tr w:rsidR="00911283">
        <w:trPr>
          <w:trHeight w:val="538"/>
          <w:jc w:val="center"/>
        </w:trPr>
        <w:tc>
          <w:tcPr>
            <w:tcW w:w="1384" w:type="dxa"/>
            <w:vAlign w:val="center"/>
          </w:tcPr>
          <w:p w:rsidR="00911283" w:rsidRDefault="00911283">
            <w:pPr>
              <w:jc w:val="center"/>
            </w:pPr>
          </w:p>
        </w:tc>
        <w:tc>
          <w:tcPr>
            <w:tcW w:w="5670" w:type="dxa"/>
            <w:vAlign w:val="center"/>
          </w:tcPr>
          <w:p w:rsidR="00911283" w:rsidRDefault="00240CBF">
            <w:pPr>
              <w:jc w:val="center"/>
            </w:pPr>
            <m:oMathPara>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=r(</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)+γQ(</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,μ(</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Q</m:t>
                    </m:r>
                  </m:sup>
                </m:sSup>
                <m:r>
                  <w:rPr>
                    <w:rFonts w:ascii="Cambria Math" w:hAnsi="Cambria Math"/>
                  </w:rPr>
                  <m:t>)</m:t>
                </m:r>
              </m:oMath>
            </m:oMathPara>
          </w:p>
        </w:tc>
        <w:tc>
          <w:tcPr>
            <w:tcW w:w="1559" w:type="dxa"/>
            <w:vAlign w:val="center"/>
          </w:tcPr>
          <w:p w:rsidR="00911283" w:rsidRDefault="00240CBF">
            <w:pPr>
              <w:jc w:val="right"/>
            </w:pPr>
            <w:r>
              <w:rPr>
                <w:rFonts w:hint="eastAsia"/>
              </w:rPr>
              <w:t>（</w:t>
            </w:r>
            <w:r>
              <w:rPr>
                <w:rFonts w:hint="eastAsia"/>
              </w:rPr>
              <w:t>10</w:t>
            </w:r>
            <w:r>
              <w:rPr>
                <w:rFonts w:hint="eastAsia"/>
              </w:rPr>
              <w:t>）</w:t>
            </w:r>
          </w:p>
        </w:tc>
      </w:tr>
    </w:tbl>
    <w:p w:rsidR="00911283" w:rsidRDefault="00240CBF">
      <m:oMath>
        <m:sSup>
          <m:sSupPr>
            <m:ctrlPr>
              <w:rPr>
                <w:rFonts w:ascii="Cambria Math" w:hAnsi="Cambria Math"/>
              </w:rPr>
            </m:ctrlPr>
          </m:sSupPr>
          <m:e>
            <m:r>
              <w:rPr>
                <w:rFonts w:ascii="Cambria Math" w:hAnsi="Cambria Math"/>
              </w:rPr>
              <m:t>ρ</m:t>
            </m:r>
          </m:e>
          <m:sup>
            <m:r>
              <w:rPr>
                <w:rFonts w:ascii="Cambria Math" w:hAnsi="Cambria Math"/>
              </w:rPr>
              <m:t>β</m:t>
            </m:r>
          </m:sup>
        </m:sSup>
      </m:oMath>
      <w:r>
        <w:rPr>
          <w:rFonts w:hint="eastAsia"/>
        </w:rPr>
        <w:t>表示由</w:t>
      </w:r>
      <m:oMath>
        <m:r>
          <w:rPr>
            <w:rFonts w:ascii="Cambria Math" w:hAnsi="Cambria Math"/>
          </w:rPr>
          <m:t>β</m:t>
        </m:r>
      </m:oMath>
      <w:r>
        <w:rPr>
          <w:rFonts w:hint="eastAsia"/>
        </w:rPr>
        <w:t>构成的状态访问分布。</w:t>
      </w:r>
    </w:p>
    <w:p w:rsidR="00911283" w:rsidRDefault="00240CBF">
      <w:pPr>
        <w:ind w:firstLine="420"/>
      </w:pPr>
      <w:r>
        <w:rPr>
          <w:rFonts w:hint="eastAsia"/>
        </w:rPr>
        <w:t>存在的问题是将</w:t>
      </w:r>
      <w:r>
        <w:rPr>
          <w:rFonts w:hint="eastAsia"/>
        </w:rPr>
        <w:t>Q-learning</w:t>
      </w:r>
      <w:r>
        <w:rPr>
          <w:rFonts w:hint="eastAsia"/>
        </w:rPr>
        <w:t>应用于连续动作空间是不可能的，因为寻找贪婪策略需要在每个时间步上优化</w:t>
      </w:r>
      <m:oMath>
        <m:sSub>
          <m:sSubPr>
            <m:ctrlPr>
              <w:rPr>
                <w:rFonts w:ascii="Cambria Math" w:hAnsi="Cambria Math"/>
              </w:rPr>
            </m:ctrlPr>
          </m:sSubPr>
          <m:e>
            <m:r>
              <w:rPr>
                <w:rFonts w:ascii="Cambria Math" w:hAnsi="Cambria Math" w:hint="eastAsia"/>
              </w:rPr>
              <m:t>a</m:t>
            </m:r>
          </m:e>
          <m:sub>
            <m:r>
              <w:rPr>
                <w:rFonts w:ascii="Cambria Math" w:hAnsi="Cambria Math"/>
              </w:rPr>
              <m:t>t</m:t>
            </m:r>
          </m:sub>
        </m:sSub>
      </m:oMath>
      <w:r>
        <w:rPr>
          <w:rFonts w:hint="eastAsia"/>
        </w:rPr>
        <w:t>。策略可以通过使用</w:t>
      </w:r>
      <w:r>
        <w:rPr>
          <w:rFonts w:hint="eastAsia"/>
        </w:rPr>
        <w:t>DPG</w:t>
      </w:r>
      <w:r>
        <w:rPr>
          <w:rFonts w:hint="eastAsia"/>
        </w:rPr>
        <w:t>算法</w:t>
      </w:r>
      <w:r>
        <w:rPr>
          <w:rFonts w:hint="eastAsia"/>
        </w:rPr>
        <w:t>(Silver</w:t>
      </w:r>
      <w:r>
        <w:rPr>
          <w:rFonts w:hint="eastAsia"/>
        </w:rPr>
        <w:t>，</w:t>
      </w:r>
      <w:r>
        <w:rPr>
          <w:rFonts w:hint="eastAsia"/>
        </w:rPr>
        <w:t>2014)</w:t>
      </w:r>
      <w:r>
        <w:rPr>
          <w:rFonts w:hint="eastAsia"/>
        </w:rPr>
        <w:t>在</w:t>
      </w:r>
      <w:r>
        <w:rPr>
          <w:rFonts w:hint="eastAsia"/>
        </w:rPr>
        <w:t>Q</w:t>
      </w:r>
      <w:r>
        <w:rPr>
          <w:rFonts w:hint="eastAsia"/>
        </w:rPr>
        <w:t>的梯度方向上进行更新，采用“动作</w:t>
      </w:r>
      <w:r>
        <w:rPr>
          <w:rFonts w:hint="eastAsia"/>
        </w:rPr>
        <w:t>-</w:t>
      </w:r>
      <w:r>
        <w:rPr>
          <w:rFonts w:hint="eastAsia"/>
        </w:rPr>
        <w:t>评分”方法，其中动作由称为</w:t>
      </w:r>
      <w:r>
        <w:rPr>
          <w:rFonts w:hint="eastAsia"/>
        </w:rPr>
        <w:t>actor</w:t>
      </w:r>
      <w:r>
        <w:rPr>
          <w:rFonts w:hint="eastAsia"/>
        </w:rPr>
        <w:t>的神经网络逼近，评分（</w:t>
      </w:r>
      <w:r>
        <w:rPr>
          <w:rFonts w:hint="eastAsia"/>
        </w:rPr>
        <w:t>Q</w:t>
      </w:r>
      <w:r>
        <w:rPr>
          <w:rFonts w:hint="eastAsia"/>
        </w:rPr>
        <w:t>）由另一个称为</w:t>
      </w:r>
      <w:r>
        <w:rPr>
          <w:rFonts w:hint="eastAsia"/>
        </w:rPr>
        <w:t>critical</w:t>
      </w:r>
      <w:r>
        <w:rPr>
          <w:rFonts w:hint="eastAsia"/>
        </w:rPr>
        <w:t>的神经网络逼近。在动作</w:t>
      </w:r>
      <w:r>
        <w:rPr>
          <w:rFonts w:hint="eastAsia"/>
        </w:rPr>
        <w:t>-</w:t>
      </w:r>
      <w:r>
        <w:rPr>
          <w:rFonts w:hint="eastAsia"/>
        </w:rPr>
        <w:t>评分方法中，动作和评分用</w:t>
      </w:r>
      <m:oMath>
        <m:sSup>
          <m:sSupPr>
            <m:ctrlPr>
              <w:rPr>
                <w:rFonts w:ascii="Cambria Math" w:hAnsi="Cambria Math"/>
              </w:rPr>
            </m:ctrlPr>
          </m:sSupPr>
          <m:e>
            <m:r>
              <w:rPr>
                <w:rFonts w:ascii="Cambria Math" w:hAnsi="Cambria Math"/>
              </w:rPr>
              <m:t>θ</m:t>
            </m:r>
          </m:e>
          <m:sup>
            <m:r>
              <w:rPr>
                <w:rFonts w:ascii="Cambria Math" w:hAnsi="Cambria Math"/>
              </w:rPr>
              <m:t>μ</m:t>
            </m:r>
          </m:sup>
        </m:sSup>
      </m:oMath>
      <w:r>
        <w:rPr>
          <w:rFonts w:hint="eastAsia"/>
        </w:rPr>
        <w:t>和</w:t>
      </w:r>
      <m:oMath>
        <m:sSup>
          <m:sSupPr>
            <m:ctrlPr>
              <w:rPr>
                <w:rFonts w:ascii="Cambria Math" w:hAnsi="Cambria Math"/>
              </w:rPr>
            </m:ctrlPr>
          </m:sSupPr>
          <m:e>
            <m:r>
              <w:rPr>
                <w:rFonts w:ascii="Cambria Math" w:hAnsi="Cambria Math"/>
              </w:rPr>
              <m:t>θ</m:t>
            </m:r>
          </m:e>
          <m:sup>
            <m:r>
              <w:rPr>
                <w:rFonts w:ascii="Cambria Math" w:hAnsi="Cambria Math"/>
              </w:rPr>
              <m:t>Q</m:t>
            </m:r>
          </m:sup>
        </m:sSup>
      </m:oMath>
      <w:r>
        <w:rPr>
          <w:rFonts w:hint="eastAsia"/>
        </w:rPr>
        <w:t>参数化，策略由动作表示。</w:t>
      </w:r>
    </w:p>
    <w:p w:rsidR="00911283" w:rsidRDefault="00240CBF">
      <w:pPr>
        <w:ind w:firstLine="420"/>
      </w:pPr>
      <w:r>
        <w:rPr>
          <w:rFonts w:hint="eastAsia"/>
        </w:rPr>
        <w:t>actor</w:t>
      </w:r>
      <w:r>
        <w:rPr>
          <w:rFonts w:hint="eastAsia"/>
        </w:rPr>
        <w:t>是通过应用式</w:t>
      </w:r>
      <w:r>
        <w:rPr>
          <w:rFonts w:hint="eastAsia"/>
        </w:rPr>
        <w:t>11</w:t>
      </w:r>
      <w:r>
        <w:rPr>
          <w:rFonts w:hint="eastAsia"/>
        </w:rPr>
        <w:t>使</w:t>
      </w:r>
      <w:r>
        <w:rPr>
          <w:rFonts w:hint="eastAsia"/>
        </w:rPr>
        <w:t>J</w:t>
      </w:r>
      <w:r>
        <w:rPr>
          <w:rFonts w:hint="eastAsia"/>
        </w:rPr>
        <w:t>最大化来学习的，而</w:t>
      </w:r>
      <w:r>
        <w:rPr>
          <w:rFonts w:hint="eastAsia"/>
        </w:rPr>
        <w:t>critical</w:t>
      </w:r>
      <w:r>
        <w:rPr>
          <w:rFonts w:hint="eastAsia"/>
        </w:rPr>
        <w:t>是通过</w:t>
      </w:r>
      <w:r>
        <w:rPr>
          <w:rFonts w:hint="eastAsia"/>
        </w:rPr>
        <w:t>Bellman</w:t>
      </w:r>
      <w:r>
        <w:rPr>
          <w:rFonts w:hint="eastAsia"/>
        </w:rPr>
        <w:t>方程学习的，就像</w:t>
      </w:r>
      <w:r>
        <w:rPr>
          <w:rFonts w:hint="eastAsia"/>
        </w:rPr>
        <w:t>Q-learning</w:t>
      </w:r>
      <w:r>
        <w:rPr>
          <w:rFonts w:hint="eastAsia"/>
        </w:rPr>
        <w:t>中一样。</w:t>
      </w:r>
    </w:p>
    <w:tbl>
      <w:tblPr>
        <w:tblStyle w:val="a8"/>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670"/>
        <w:gridCol w:w="1559"/>
      </w:tblGrid>
      <w:tr w:rsidR="00911283">
        <w:trPr>
          <w:trHeight w:val="538"/>
        </w:trPr>
        <w:tc>
          <w:tcPr>
            <w:tcW w:w="1384" w:type="dxa"/>
            <w:vAlign w:val="center"/>
          </w:tcPr>
          <w:p w:rsidR="00911283" w:rsidRDefault="00911283">
            <w:pPr>
              <w:jc w:val="center"/>
            </w:pPr>
          </w:p>
        </w:tc>
        <w:tc>
          <w:tcPr>
            <w:tcW w:w="5670" w:type="dxa"/>
            <w:vAlign w:val="center"/>
          </w:tcPr>
          <w:p w:rsidR="00911283" w:rsidRDefault="00240CBF">
            <w:pPr>
              <w:jc w:val="center"/>
            </w:pPr>
            <m:oMathPara>
              <m:oMath>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θ</m:t>
                        </m:r>
                      </m:e>
                      <m:sup>
                        <m:r>
                          <w:rPr>
                            <w:rFonts w:ascii="Cambria Math" w:hAnsi="Cambria Math"/>
                          </w:rPr>
                          <m:t>μ</m:t>
                        </m:r>
                      </m:sup>
                    </m:sSup>
                  </m:sub>
                </m:sSub>
                <m:r>
                  <w:rPr>
                    <w:rFonts w:ascii="Cambria Math" w:hAnsi="Cambria Math"/>
                  </w:rPr>
                  <m:t>J≈</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β</m:t>
                        </m:r>
                      </m:sup>
                    </m:sSup>
                  </m:sub>
                </m:sSub>
                <m:r>
                  <w:rPr>
                    <w:rFonts w:ascii="Cambria Math" w:hAnsi="Cambria Math"/>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θ</m:t>
                            </m:r>
                          </m:e>
                          <m:sup>
                            <m:r>
                              <w:rPr>
                                <w:rFonts w:ascii="Cambria Math" w:hAnsi="Cambria Math"/>
                              </w:rPr>
                              <m:t>μ</m:t>
                            </m:r>
                          </m:sup>
                        </m:sSup>
                      </m:sub>
                    </m:sSub>
                    <m:r>
                      <w:rPr>
                        <w:rFonts w:ascii="Cambria Math" w:hAnsi="Cambria Math"/>
                      </w:rPr>
                      <m:t>Q(s,a∣</m:t>
                    </m:r>
                    <m:sSup>
                      <m:sSupPr>
                        <m:ctrlPr>
                          <w:rPr>
                            <w:rFonts w:ascii="Cambria Math" w:hAnsi="Cambria Math"/>
                          </w:rPr>
                        </m:ctrlPr>
                      </m:sSupPr>
                      <m:e>
                        <m:r>
                          <w:rPr>
                            <w:rFonts w:ascii="Cambria Math" w:hAnsi="Cambria Math"/>
                          </w:rPr>
                          <m:t>θ</m:t>
                        </m:r>
                      </m:e>
                      <m:sup>
                        <m:r>
                          <w:rPr>
                            <w:rFonts w:ascii="Cambria Math" w:hAnsi="Cambria Math"/>
                          </w:rPr>
                          <m:t>Q</m:t>
                        </m:r>
                      </m:sup>
                    </m:sSup>
                    <m:r>
                      <w:rPr>
                        <w:rFonts w:ascii="Cambria Math" w:hAnsi="Cambria Math"/>
                      </w:rPr>
                      <m:t>)|</m:t>
                    </m:r>
                  </m:e>
                  <m:sub>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,a=μ(</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u</m:t>
                        </m:r>
                      </m:sup>
                    </m:sSup>
                    <m:r>
                      <w:rPr>
                        <w:rFonts w:ascii="Cambria Math" w:hAnsi="Cambria Math"/>
                      </w:rPr>
                      <m:t>)</m:t>
                    </m:r>
                  </m:sub>
                </m:sSub>
                <m:r>
                  <w:rPr>
                    <w:rFonts w:ascii="Cambria Math" w:hAnsi="Cambria Math"/>
                  </w:rPr>
                  <m:t>]</m:t>
                </m:r>
              </m:oMath>
            </m:oMathPara>
          </w:p>
        </w:tc>
        <w:tc>
          <w:tcPr>
            <w:tcW w:w="1559" w:type="dxa"/>
            <w:vAlign w:val="center"/>
          </w:tcPr>
          <w:p w:rsidR="00911283" w:rsidRDefault="00240CBF">
            <w:pPr>
              <w:jc w:val="right"/>
            </w:pPr>
            <w:r>
              <w:rPr>
                <w:rFonts w:hint="eastAsia"/>
              </w:rPr>
              <w:t>（</w:t>
            </w:r>
            <w:r>
              <w:rPr>
                <w:rFonts w:hint="eastAsia"/>
              </w:rPr>
              <w:t>11</w:t>
            </w:r>
            <w:r>
              <w:rPr>
                <w:rFonts w:hint="eastAsia"/>
              </w:rPr>
              <w:t>）</w:t>
            </w:r>
          </w:p>
        </w:tc>
      </w:tr>
    </w:tbl>
    <w:p w:rsidR="00911283" w:rsidRDefault="00240CBF">
      <w:pPr>
        <w:ind w:firstLine="420"/>
      </w:pPr>
      <w:r>
        <w:rPr>
          <w:rFonts w:hint="eastAsia"/>
        </w:rPr>
        <w:t>然而，如果观测空间是高维的，这种行为</w:t>
      </w:r>
      <w:r>
        <w:rPr>
          <w:rFonts w:hint="eastAsia"/>
        </w:rPr>
        <w:t>-</w:t>
      </w:r>
      <w:r>
        <w:rPr>
          <w:rFonts w:hint="eastAsia"/>
        </w:rPr>
        <w:t>批评方法在收敛上存在困难，并且学习不稳定。</w:t>
      </w:r>
      <w:proofErr w:type="spellStart"/>
      <w:r>
        <w:rPr>
          <w:rFonts w:hint="eastAsia"/>
        </w:rPr>
        <w:t>Lillicrap</w:t>
      </w:r>
      <w:proofErr w:type="spellEnd"/>
      <w:r>
        <w:rPr>
          <w:rFonts w:hint="eastAsia"/>
        </w:rPr>
        <w:t>为了解决这一问题提出了</w:t>
      </w:r>
      <w:r>
        <w:rPr>
          <w:rFonts w:hint="eastAsia"/>
        </w:rPr>
        <w:t>DDPG</w:t>
      </w:r>
      <w:r>
        <w:rPr>
          <w:rFonts w:hint="eastAsia"/>
        </w:rPr>
        <w:t>，它是基于“动作</w:t>
      </w:r>
      <w:r>
        <w:rPr>
          <w:rFonts w:hint="eastAsia"/>
        </w:rPr>
        <w:t>-</w:t>
      </w:r>
      <w:r>
        <w:rPr>
          <w:rFonts w:hint="eastAsia"/>
        </w:rPr>
        <w:t>评分”和深度</w:t>
      </w:r>
      <w:r>
        <w:rPr>
          <w:rFonts w:hint="eastAsia"/>
        </w:rPr>
        <w:t>Q</w:t>
      </w:r>
      <w:r>
        <w:rPr>
          <w:rFonts w:hint="eastAsia"/>
        </w:rPr>
        <w:t>网络</w:t>
      </w:r>
      <w:r>
        <w:rPr>
          <w:rFonts w:hint="eastAsia"/>
        </w:rPr>
        <w:t xml:space="preserve"> (DQN)</w:t>
      </w:r>
      <w:r>
        <w:rPr>
          <w:rFonts w:hint="eastAsia"/>
        </w:rPr>
        <w:t>的结合。</w:t>
      </w:r>
      <w:r>
        <w:rPr>
          <w:rFonts w:hint="eastAsia"/>
        </w:rPr>
        <w:t>DQN</w:t>
      </w:r>
      <w:r>
        <w:rPr>
          <w:rFonts w:hint="eastAsia"/>
        </w:rPr>
        <w:t>用于</w:t>
      </w:r>
      <w:r>
        <w:rPr>
          <w:rFonts w:hint="eastAsia"/>
        </w:rPr>
        <w:t>DDPG</w:t>
      </w:r>
      <w:r>
        <w:rPr>
          <w:rFonts w:hint="eastAsia"/>
        </w:rPr>
        <w:t>的两个主要特性是重置缓冲区和目标网络。重置缓冲是一个存储的转换（</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t+1</m:t>
            </m:r>
          </m:sub>
        </m:sSub>
      </m:oMath>
      <w:r>
        <w:rPr>
          <w:rFonts w:hint="eastAsia"/>
        </w:rPr>
        <w:t>），目标网络是动作</w:t>
      </w:r>
      <w:r>
        <w:rPr>
          <w:rFonts w:hint="eastAsia"/>
        </w:rPr>
        <w:t>-</w:t>
      </w:r>
      <w:r>
        <w:rPr>
          <w:rFonts w:hint="eastAsia"/>
        </w:rPr>
        <w:t>评分的复制，它的权重随着动作</w:t>
      </w:r>
      <w:r>
        <w:rPr>
          <w:rFonts w:hint="eastAsia"/>
        </w:rPr>
        <w:t>-</w:t>
      </w:r>
      <w:r>
        <w:rPr>
          <w:rFonts w:hint="eastAsia"/>
        </w:rPr>
        <w:t>评分的权重而更新。结果表明，利用重置缓冲和目标网络可以显著地稳定和改善学习过程。</w:t>
      </w:r>
    </w:p>
    <w:p w:rsidR="00911283" w:rsidRDefault="00240CBF">
      <w:pPr>
        <w:pStyle w:val="2"/>
        <w:numPr>
          <w:ilvl w:val="1"/>
          <w:numId w:val="1"/>
        </w:numPr>
      </w:pPr>
      <w:r>
        <w:rPr>
          <w:rFonts w:hint="eastAsia"/>
        </w:rPr>
        <w:t>SST</w:t>
      </w:r>
      <w:r>
        <w:rPr>
          <w:rFonts w:hint="eastAsia"/>
        </w:rPr>
        <w:t>系统中</w:t>
      </w:r>
      <w:r>
        <w:rPr>
          <w:rFonts w:hint="eastAsia"/>
        </w:rPr>
        <w:t>PID</w:t>
      </w:r>
      <w:r>
        <w:rPr>
          <w:rFonts w:hint="eastAsia"/>
        </w:rPr>
        <w:t>增益自适应微调系统的提出</w:t>
      </w:r>
    </w:p>
    <w:p w:rsidR="00911283" w:rsidRDefault="00240CBF">
      <w:pPr>
        <w:ind w:firstLine="420"/>
      </w:pPr>
      <w:r>
        <w:rPr>
          <w:rFonts w:hint="eastAsia"/>
        </w:rPr>
        <w:t>所提出的自适应微调系统的总体结构如图</w:t>
      </w:r>
      <w:r>
        <w:rPr>
          <w:rFonts w:hint="eastAsia"/>
        </w:rPr>
        <w:t>4</w:t>
      </w:r>
      <w:r>
        <w:rPr>
          <w:rFonts w:hint="eastAsia"/>
        </w:rPr>
        <w:t>所示。</w:t>
      </w:r>
    </w:p>
    <w:tbl>
      <w:tblPr>
        <w:tblStyle w:val="a8"/>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
        <w:gridCol w:w="6756"/>
        <w:gridCol w:w="978"/>
      </w:tblGrid>
      <w:tr w:rsidR="00911283">
        <w:trPr>
          <w:trHeight w:val="538"/>
        </w:trPr>
        <w:tc>
          <w:tcPr>
            <w:tcW w:w="879" w:type="dxa"/>
            <w:vAlign w:val="center"/>
          </w:tcPr>
          <w:p w:rsidR="00911283" w:rsidRDefault="00911283">
            <w:pPr>
              <w:jc w:val="center"/>
            </w:pPr>
          </w:p>
        </w:tc>
        <w:tc>
          <w:tcPr>
            <w:tcW w:w="6756" w:type="dxa"/>
            <w:vAlign w:val="center"/>
          </w:tcPr>
          <w:p w:rsidR="00911283" w:rsidRDefault="00911283">
            <w:pPr>
              <w:jc w:val="center"/>
            </w:pPr>
          </w:p>
        </w:tc>
        <w:tc>
          <w:tcPr>
            <w:tcW w:w="978" w:type="dxa"/>
            <w:vAlign w:val="center"/>
          </w:tcPr>
          <w:p w:rsidR="00911283" w:rsidRDefault="00911283">
            <w:pPr>
              <w:jc w:val="right"/>
            </w:pPr>
          </w:p>
        </w:tc>
      </w:tr>
    </w:tbl>
    <w:p w:rsidR="00911283" w:rsidRDefault="00911283"/>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
        <w:gridCol w:w="7716"/>
        <w:gridCol w:w="403"/>
      </w:tblGrid>
      <w:tr w:rsidR="00911283">
        <w:tc>
          <w:tcPr>
            <w:tcW w:w="1022" w:type="dxa"/>
            <w:vAlign w:val="center"/>
          </w:tcPr>
          <w:p w:rsidR="00911283" w:rsidRDefault="00911283">
            <w:pPr>
              <w:jc w:val="center"/>
            </w:pPr>
          </w:p>
        </w:tc>
        <w:tc>
          <w:tcPr>
            <w:tcW w:w="6477" w:type="dxa"/>
            <w:vAlign w:val="center"/>
          </w:tcPr>
          <w:p w:rsidR="00911283" w:rsidRDefault="00240CBF">
            <w:pPr>
              <w:jc w:val="center"/>
            </w:pPr>
            <w:r>
              <w:object w:dxaOrig="7500" w:dyaOrig="2820">
                <v:shape id="_x0000_i1027" type="#_x0000_t75" style="width:375.05pt;height:140.8pt" o:ole="">
                  <v:imagedata r:id="rId13" o:title=""/>
                </v:shape>
                <o:OLEObject Type="Embed" ProgID="Visio.Drawing.15" ShapeID="_x0000_i1027" DrawAspect="Content" ObjectID="_1685892393" r:id="rId14"/>
              </w:object>
            </w:r>
          </w:p>
        </w:tc>
        <w:tc>
          <w:tcPr>
            <w:tcW w:w="1023" w:type="dxa"/>
            <w:vAlign w:val="center"/>
          </w:tcPr>
          <w:p w:rsidR="00911283" w:rsidRDefault="00911283">
            <w:pPr>
              <w:jc w:val="center"/>
            </w:pPr>
          </w:p>
        </w:tc>
      </w:tr>
      <w:tr w:rsidR="00911283">
        <w:tc>
          <w:tcPr>
            <w:tcW w:w="1022" w:type="dxa"/>
            <w:vAlign w:val="center"/>
          </w:tcPr>
          <w:p w:rsidR="00911283" w:rsidRDefault="00911283">
            <w:pPr>
              <w:jc w:val="center"/>
            </w:pPr>
          </w:p>
        </w:tc>
        <w:tc>
          <w:tcPr>
            <w:tcW w:w="6477" w:type="dxa"/>
            <w:vAlign w:val="center"/>
          </w:tcPr>
          <w:p w:rsidR="00911283" w:rsidRDefault="00240CBF">
            <w:pPr>
              <w:jc w:val="center"/>
            </w:pPr>
            <w:r>
              <w:rPr>
                <w:rStyle w:val="10"/>
                <w:rFonts w:hint="eastAsia"/>
              </w:rPr>
              <w:t>图（</w:t>
            </w:r>
            <w:r>
              <w:rPr>
                <w:rStyle w:val="10"/>
                <w:rFonts w:hint="eastAsia"/>
              </w:rPr>
              <w:t>4</w:t>
            </w:r>
            <w:r>
              <w:rPr>
                <w:rStyle w:val="10"/>
                <w:rFonts w:hint="eastAsia"/>
              </w:rPr>
              <w:t>）自适应微调系统的总体结构</w:t>
            </w:r>
          </w:p>
        </w:tc>
        <w:tc>
          <w:tcPr>
            <w:tcW w:w="1023" w:type="dxa"/>
            <w:vAlign w:val="center"/>
          </w:tcPr>
          <w:p w:rsidR="00911283" w:rsidRDefault="00911283">
            <w:pPr>
              <w:jc w:val="center"/>
            </w:pPr>
          </w:p>
        </w:tc>
      </w:tr>
    </w:tbl>
    <w:p w:rsidR="00911283" w:rsidRDefault="00911283">
      <w:pPr>
        <w:ind w:firstLine="420"/>
      </w:pPr>
    </w:p>
    <w:p w:rsidR="00911283" w:rsidRDefault="00240CBF">
      <w:pPr>
        <w:ind w:firstLine="420"/>
      </w:pPr>
      <w:r>
        <w:rPr>
          <w:rFonts w:hint="eastAsia"/>
        </w:rPr>
        <w:t>在该图中，状态</w:t>
      </w:r>
      <m:oMath>
        <m:sSub>
          <m:sSubPr>
            <m:ctrlPr>
              <w:rPr>
                <w:rFonts w:ascii="Cambria Math" w:hAnsi="Cambria Math"/>
              </w:rPr>
            </m:ctrlPr>
          </m:sSubPr>
          <m:e>
            <m:r>
              <w:rPr>
                <w:rFonts w:ascii="Cambria Math" w:hAnsi="Cambria Math"/>
              </w:rPr>
              <m:t>s</m:t>
            </m:r>
          </m:e>
          <m:sub>
            <m:r>
              <w:rPr>
                <w:rFonts w:ascii="Cambria Math" w:hAnsi="Cambria Math" w:hint="eastAsia"/>
              </w:rPr>
              <m:t>t</m:t>
            </m:r>
          </m:sub>
        </m:sSub>
      </m:oMath>
      <w:r>
        <w:rPr>
          <w:rFonts w:hint="eastAsia"/>
        </w:rPr>
        <w:t>是动作和评分的输入向量，</w:t>
      </w:r>
      <m:oMath>
        <m:sSub>
          <m:sSubPr>
            <m:ctrlPr>
              <w:rPr>
                <w:rFonts w:ascii="Cambria Math" w:hAnsi="Cambria Math"/>
              </w:rPr>
            </m:ctrlPr>
          </m:sSubPr>
          <m:e>
            <m:r>
              <w:rPr>
                <w:rFonts w:ascii="Cambria Math" w:hAnsi="Cambria Math" w:hint="eastAsia"/>
              </w:rPr>
              <m:t>k</m:t>
            </m:r>
          </m:e>
          <m:sub>
            <m:r>
              <w:rPr>
                <w:rFonts w:ascii="Cambria Math" w:hAnsi="Cambria Math" w:hint="eastAsia"/>
              </w:rPr>
              <m:t>t</m:t>
            </m:r>
          </m:sub>
        </m:sSub>
      </m:oMath>
      <w:r>
        <w:rPr>
          <w:rFonts w:hint="eastAsia"/>
        </w:rPr>
        <w:t>是自适应</w:t>
      </w:r>
      <w:r>
        <w:rPr>
          <w:rFonts w:hint="eastAsia"/>
        </w:rPr>
        <w:t>PID</w:t>
      </w:r>
      <w:r>
        <w:rPr>
          <w:rFonts w:hint="eastAsia"/>
        </w:rPr>
        <w:t>增益的向量，</w:t>
      </w:r>
      <m:oMath>
        <m:sSub>
          <m:sSubPr>
            <m:ctrlPr>
              <w:rPr>
                <w:rFonts w:ascii="Cambria Math" w:hAnsi="Cambria Math"/>
              </w:rPr>
            </m:ctrlPr>
          </m:sSubPr>
          <m:e>
            <m:r>
              <w:rPr>
                <w:rFonts w:ascii="Cambria Math" w:hAnsi="Cambria Math"/>
              </w:rPr>
              <m:t>g</m:t>
            </m:r>
          </m:e>
          <m:sub>
            <m:r>
              <w:rPr>
                <w:rFonts w:ascii="Cambria Math" w:hAnsi="Cambria Math" w:hint="eastAsia"/>
              </w:rPr>
              <m:t>t</m:t>
            </m:r>
          </m:sub>
        </m:sSub>
      </m:oMath>
      <w:r>
        <w:rPr>
          <w:rFonts w:hint="eastAsia"/>
        </w:rPr>
        <w:t>是误差积分的更新。</w:t>
      </w:r>
      <m:oMath>
        <m:sSub>
          <m:sSubPr>
            <m:ctrlPr>
              <w:rPr>
                <w:rFonts w:ascii="Cambria Math" w:hAnsi="Cambria Math"/>
              </w:rPr>
            </m:ctrlPr>
          </m:sSubPr>
          <m:e>
            <m:r>
              <w:rPr>
                <w:rFonts w:ascii="Cambria Math" w:hAnsi="Cambria Math"/>
              </w:rPr>
              <m:t>s</m:t>
            </m:r>
          </m:e>
          <m:sub>
            <m:r>
              <w:rPr>
                <w:rFonts w:ascii="Cambria Math" w:hAnsi="Cambria Math" w:hint="eastAsia"/>
              </w:rPr>
              <m:t>t</m:t>
            </m:r>
          </m:sub>
        </m:sSub>
      </m:oMath>
      <w:r>
        <w:rPr>
          <w:rFonts w:hint="eastAsia"/>
        </w:rPr>
        <w:t>的构型如式</w:t>
      </w:r>
      <w:r>
        <w:rPr>
          <w:rFonts w:hint="eastAsia"/>
        </w:rPr>
        <w:t>(12)</w:t>
      </w:r>
      <w:r>
        <w:rPr>
          <w:rFonts w:hint="eastAsia"/>
        </w:rPr>
        <w:t>所示。在</w:t>
      </w:r>
      <m:oMath>
        <m:sSub>
          <m:sSubPr>
            <m:ctrlPr>
              <w:rPr>
                <w:rFonts w:ascii="Cambria Math" w:hAnsi="Cambria Math"/>
              </w:rPr>
            </m:ctrlPr>
          </m:sSubPr>
          <m:e>
            <m:r>
              <w:rPr>
                <w:rFonts w:ascii="Cambria Math" w:hAnsi="Cambria Math"/>
              </w:rPr>
              <m:t>s</m:t>
            </m:r>
          </m:e>
          <m:sub>
            <m:r>
              <w:rPr>
                <w:rFonts w:ascii="Cambria Math" w:hAnsi="Cambria Math" w:hint="eastAsia"/>
              </w:rPr>
              <m:t>t</m:t>
            </m:r>
          </m:sub>
        </m:sSub>
      </m:oMath>
      <w:r>
        <w:rPr>
          <w:rFonts w:hint="eastAsia"/>
        </w:rPr>
        <w:t>中使用前面动作的历史记录来处理记忆效应（即当前动作由前面任何时刻的动作决定）。</w:t>
      </w:r>
    </w:p>
    <w:tbl>
      <w:tblPr>
        <w:tblStyle w:val="a8"/>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670"/>
        <w:gridCol w:w="1559"/>
      </w:tblGrid>
      <w:tr w:rsidR="00911283">
        <w:trPr>
          <w:trHeight w:val="538"/>
        </w:trPr>
        <w:tc>
          <w:tcPr>
            <w:tcW w:w="1384" w:type="dxa"/>
            <w:vAlign w:val="center"/>
          </w:tcPr>
          <w:p w:rsidR="00911283" w:rsidRDefault="00911283">
            <w:pPr>
              <w:jc w:val="center"/>
            </w:pPr>
          </w:p>
        </w:tc>
        <w:tc>
          <w:tcPr>
            <w:tcW w:w="5670" w:type="dxa"/>
            <w:vAlign w:val="center"/>
          </w:tcPr>
          <w:p w:rsidR="00911283" w:rsidRDefault="00240CBF">
            <w:pPr>
              <w:jc w:val="center"/>
            </w:pPr>
            <m:oMathPara>
              <m:oMath>
                <m:sSub>
                  <m:sSubPr>
                    <m:ctrlPr>
                      <w:rPr>
                        <w:rFonts w:ascii="Cambria Math" w:hAnsi="Cambria Math"/>
                      </w:rPr>
                    </m:ctrlPr>
                  </m:sSubPr>
                  <m:e>
                    <m:r>
                      <m:rPr>
                        <m:sty m:val="bi"/>
                      </m:rPr>
                      <w:rPr>
                        <w:rFonts w:ascii="Cambria Math" w:hAnsi="Cambria Math"/>
                      </w:rPr>
                      <m:t>s</m:t>
                    </m:r>
                  </m:e>
                  <m:sub>
                    <m:r>
                      <w:rPr>
                        <w:rFonts w:ascii="Cambria Math" w:hAnsi="Cambria Math"/>
                      </w:rPr>
                      <m:t>t</m:t>
                    </m:r>
                  </m:sub>
                </m:sSub>
                <m:r>
                  <w:rPr>
                    <w:rFonts w:ascii="Cambria Math" w:hAnsi="Cambria Math"/>
                  </w:rPr>
                  <m:t>={</m:t>
                </m:r>
                <m:eqArr>
                  <m:eqArrPr>
                    <m:ctrlPr>
                      <w:rPr>
                        <w:rFonts w:ascii="Cambria Math" w:hAnsi="Cambria Math"/>
                      </w:rPr>
                    </m:ctrlPr>
                  </m:eqArrPr>
                  <m:e>
                    <m:sSubSup>
                      <m:sSubSupPr>
                        <m:ctrlPr>
                          <w:rPr>
                            <w:rFonts w:ascii="Cambria Math" w:hAnsi="Cambria Math"/>
                          </w:rPr>
                        </m:ctrlPr>
                      </m:sSubSupPr>
                      <m:e>
                        <m:r>
                          <w:rPr>
                            <w:rFonts w:ascii="Cambria Math" w:hAnsi="Cambria Math"/>
                          </w:rPr>
                          <m:t>e</m:t>
                        </m:r>
                      </m:e>
                      <m:sub>
                        <m:r>
                          <w:rPr>
                            <w:rFonts w:ascii="Cambria Math" w:hAnsi="Cambria Math"/>
                          </w:rPr>
                          <m:t>t-9</m:t>
                        </m:r>
                      </m:sub>
                      <m:sup>
                        <m: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t-8</m:t>
                        </m:r>
                      </m:sub>
                      <m:sup>
                        <m: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t</m:t>
                        </m:r>
                      </m:sub>
                      <m:sup>
                        <m: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m:t>
                        </m:r>
                      </m:sup>
                    </m:sSubSup>
                    <m:r>
                      <w:rPr>
                        <w:rFonts w:ascii="Cambria Math" w:hAnsi="Cambria Math"/>
                      </w:rPr>
                      <m:t>,</m:t>
                    </m:r>
                  </m:e>
                  <m:e>
                    <m:sSubSup>
                      <m:sSubSupPr>
                        <m:ctrlPr>
                          <w:rPr>
                            <w:rFonts w:ascii="Cambria Math" w:hAnsi="Cambria Math"/>
                          </w:rPr>
                        </m:ctrlPr>
                      </m:sSubSupPr>
                      <m:e>
                        <m:r>
                          <w:rPr>
                            <w:rFonts w:ascii="Cambria Math" w:hAnsi="Cambria Math"/>
                          </w:rPr>
                          <m:t>e</m:t>
                        </m:r>
                      </m:e>
                      <m:sub>
                        <m:r>
                          <w:rPr>
                            <w:rFonts w:ascii="Cambria Math" w:hAnsi="Cambria Math"/>
                          </w:rPr>
                          <m:t>t-9</m:t>
                        </m:r>
                      </m:sub>
                      <m:sup>
                        <m: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t-8</m:t>
                        </m:r>
                      </m:sub>
                      <m:sup>
                        <m: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t</m:t>
                        </m:r>
                      </m:sub>
                      <m:sup>
                        <m: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r>
                          <w:rPr>
                            <w:rFonts w:ascii="Cambria Math" w:hAnsi="Cambria Math"/>
                          </w:rPr>
                          <m:t>)</m:t>
                        </m:r>
                      </m:sup>
                    </m:sSubSup>
                    <m:r>
                      <w:rPr>
                        <w:rFonts w:ascii="Cambria Math" w:hAnsi="Cambria Math"/>
                      </w:rPr>
                      <m:t>,</m:t>
                    </m:r>
                  </m:e>
                  <m:e>
                    <m:rad>
                      <m:radPr>
                        <m:degHide m:val="1"/>
                        <m:ctrlPr>
                          <w:rPr>
                            <w:rFonts w:ascii="Cambria Math" w:hAnsi="Cambria Math"/>
                          </w:rPr>
                        </m:ctrlPr>
                      </m:radPr>
                      <m:deg/>
                      <m:e>
                        <m:r>
                          <w:rPr>
                            <w:rFonts w:ascii="Cambria Math" w:hAnsi="Cambria Math"/>
                          </w:rPr>
                          <m:t>∣</m:t>
                        </m:r>
                        <m:nary>
                          <m:naryPr>
                            <m:limLoc m:val="subSup"/>
                            <m:grow m:val="1"/>
                            <m:ctrlPr>
                              <w:rPr>
                                <w:rFonts w:ascii="Cambria Math" w:hAnsi="Cambria Math"/>
                              </w:rPr>
                            </m:ctrlPr>
                          </m:naryPr>
                          <m:sub>
                            <m:r>
                              <w:rPr>
                                <w:rFonts w:ascii="Cambria Math" w:hAnsi="Cambria Math"/>
                              </w:rPr>
                              <m:t>0</m:t>
                            </m:r>
                          </m:sub>
                          <m:sup>
                            <m:r>
                              <w:rPr>
                                <w:rFonts w:ascii="Cambria Math" w:hAnsi="Cambria Math"/>
                              </w:rPr>
                              <m:t>t</m:t>
                            </m:r>
                          </m:sup>
                          <m:e>
                            <m:sSubSup>
                              <m:sSubSupPr>
                                <m:ctrlPr>
                                  <w:rPr>
                                    <w:rFonts w:ascii="Cambria Math" w:hAnsi="Cambria Math"/>
                                  </w:rPr>
                                </m:ctrlPr>
                              </m:sSubSupPr>
                              <m:e>
                                <m:r>
                                  <w:rPr>
                                    <w:rFonts w:ascii="Cambria Math" w:hAnsi="Cambria Math"/>
                                  </w:rPr>
                                  <m:t>e</m:t>
                                </m:r>
                              </m:e>
                              <m:sub>
                                <m:r>
                                  <w:rPr>
                                    <w:rFonts w:ascii="Cambria Math" w:hAnsi="Cambria Math"/>
                                  </w:rPr>
                                  <m:t>t</m:t>
                                </m:r>
                              </m:sub>
                              <m:sup>
                                <m: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m:t>
                                </m:r>
                              </m:sup>
                            </m:sSubSup>
                          </m:e>
                        </m:nary>
                        <m:r>
                          <w:rPr>
                            <w:rFonts w:ascii="Cambria Math" w:hAnsi="Cambria Math"/>
                          </w:rPr>
                          <m:t>dt</m:t>
                        </m:r>
                      </m:e>
                    </m:rad>
                    <m:r>
                      <w:rPr>
                        <w:rFonts w:ascii="Cambria Math" w:hAnsi="Cambria Math"/>
                      </w:rPr>
                      <m:t>|,</m:t>
                    </m:r>
                    <m:rad>
                      <m:radPr>
                        <m:degHide m:val="1"/>
                        <m:ctrlPr>
                          <w:rPr>
                            <w:rFonts w:ascii="Cambria Math" w:hAnsi="Cambria Math"/>
                          </w:rPr>
                        </m:ctrlPr>
                      </m:radPr>
                      <m:deg/>
                      <m:e>
                        <m:r>
                          <w:rPr>
                            <w:rFonts w:ascii="Cambria Math" w:hAnsi="Cambria Math"/>
                          </w:rPr>
                          <m:t>∣</m:t>
                        </m:r>
                        <m:nary>
                          <m:naryPr>
                            <m:limLoc m:val="subSup"/>
                            <m:grow m:val="1"/>
                            <m:ctrlPr>
                              <w:rPr>
                                <w:rFonts w:ascii="Cambria Math" w:hAnsi="Cambria Math"/>
                              </w:rPr>
                            </m:ctrlPr>
                          </m:naryPr>
                          <m:sub>
                            <m:r>
                              <w:rPr>
                                <w:rFonts w:ascii="Cambria Math" w:hAnsi="Cambria Math"/>
                              </w:rPr>
                              <m:t>0</m:t>
                            </m:r>
                          </m:sub>
                          <m:sup>
                            <m:r>
                              <w:rPr>
                                <w:rFonts w:ascii="Cambria Math" w:hAnsi="Cambria Math"/>
                              </w:rPr>
                              <m:t>t</m:t>
                            </m:r>
                          </m:sup>
                          <m:e>
                            <m:sSubSup>
                              <m:sSubSupPr>
                                <m:ctrlPr>
                                  <w:rPr>
                                    <w:rFonts w:ascii="Cambria Math" w:hAnsi="Cambria Math"/>
                                  </w:rPr>
                                </m:ctrlPr>
                              </m:sSubSupPr>
                              <m:e>
                                <m:r>
                                  <w:rPr>
                                    <w:rFonts w:ascii="Cambria Math" w:hAnsi="Cambria Math"/>
                                  </w:rPr>
                                  <m:t>e</m:t>
                                </m:r>
                              </m:e>
                              <m:sub>
                                <m:r>
                                  <w:rPr>
                                    <w:rFonts w:ascii="Cambria Math" w:hAnsi="Cambria Math"/>
                                  </w:rPr>
                                  <m:t>t</m:t>
                                </m:r>
                              </m:sub>
                              <m:sup>
                                <m: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r>
                                  <w:rPr>
                                    <w:rFonts w:ascii="Cambria Math" w:hAnsi="Cambria Math"/>
                                  </w:rPr>
                                  <m:t>)</m:t>
                                </m:r>
                              </m:sup>
                            </m:sSubSup>
                          </m:e>
                        </m:nary>
                        <m:r>
                          <w:rPr>
                            <w:rFonts w:ascii="Cambria Math" w:hAnsi="Cambria Math"/>
                          </w:rPr>
                          <m:t>dt</m:t>
                        </m:r>
                      </m:e>
                    </m:rad>
                    <m:r>
                      <w:rPr>
                        <w:rFonts w:ascii="Cambria Math" w:hAnsi="Cambria Math"/>
                      </w:rPr>
                      <m:t>|</m:t>
                    </m:r>
                  </m:e>
                </m:eqArr>
                <m:r>
                  <w:rPr>
                    <w:rFonts w:ascii="Cambria Math" w:hAnsi="Cambria Math"/>
                  </w:rPr>
                  <m:t>}</m:t>
                </m:r>
              </m:oMath>
            </m:oMathPara>
          </w:p>
        </w:tc>
        <w:tc>
          <w:tcPr>
            <w:tcW w:w="1559" w:type="dxa"/>
            <w:vAlign w:val="center"/>
          </w:tcPr>
          <w:p w:rsidR="00911283" w:rsidRDefault="00240CBF">
            <w:pPr>
              <w:jc w:val="right"/>
            </w:pPr>
            <w:r>
              <w:rPr>
                <w:rFonts w:hint="eastAsia"/>
              </w:rPr>
              <w:t>（</w:t>
            </w:r>
            <w:r>
              <w:rPr>
                <w:rFonts w:hint="eastAsia"/>
              </w:rPr>
              <w:t>12</w:t>
            </w:r>
            <w:r>
              <w:rPr>
                <w:rFonts w:hint="eastAsia"/>
              </w:rPr>
              <w:t>）</w:t>
            </w:r>
          </w:p>
        </w:tc>
      </w:tr>
    </w:tbl>
    <w:p w:rsidR="00911283" w:rsidRDefault="00240CBF">
      <w:r>
        <w:rPr>
          <w:rFonts w:hint="eastAsia"/>
        </w:rPr>
        <w:t>误差的积分也包括在</w:t>
      </w:r>
      <m:oMath>
        <m:sSub>
          <m:sSubPr>
            <m:ctrlPr>
              <w:rPr>
                <w:rFonts w:ascii="Cambria Math" w:hAnsi="Cambria Math"/>
              </w:rPr>
            </m:ctrlPr>
          </m:sSubPr>
          <m:e>
            <m:r>
              <w:rPr>
                <w:rFonts w:ascii="Cambria Math" w:hAnsi="Cambria Math"/>
              </w:rPr>
              <m:t>s</m:t>
            </m:r>
          </m:e>
          <m:sub>
            <m:r>
              <w:rPr>
                <w:rFonts w:ascii="Cambria Math" w:hAnsi="Cambria Math" w:hint="eastAsia"/>
              </w:rPr>
              <m:t>t</m:t>
            </m:r>
          </m:sub>
        </m:sSub>
      </m:oMath>
      <w:r>
        <w:rPr>
          <w:rFonts w:hint="eastAsia"/>
        </w:rPr>
        <w:t>中，因为它影响输出的平均位置的保持，并且它需要足够的信息去更新自身。</w:t>
      </w:r>
      <w:r>
        <w:rPr>
          <w:rFonts w:hint="eastAsia"/>
        </w:rPr>
        <w:t xml:space="preserve"> </w:t>
      </w:r>
      <w:r>
        <w:rPr>
          <w:rFonts w:hint="eastAsia"/>
        </w:rPr>
        <w:t>在对动作和评分进行训练时，需要将</w:t>
      </w:r>
      <m:oMath>
        <m:sSub>
          <m:sSubPr>
            <m:ctrlPr>
              <w:rPr>
                <w:rFonts w:ascii="Cambria Math" w:hAnsi="Cambria Math"/>
              </w:rPr>
            </m:ctrlPr>
          </m:sSubPr>
          <m:e>
            <m:r>
              <w:rPr>
                <w:rFonts w:ascii="Cambria Math" w:hAnsi="Cambria Math"/>
              </w:rPr>
              <m:t>s</m:t>
            </m:r>
          </m:e>
          <m:sub>
            <m:r>
              <w:rPr>
                <w:rFonts w:ascii="Cambria Math" w:hAnsi="Cambria Math" w:hint="eastAsia"/>
              </w:rPr>
              <m:t>t</m:t>
            </m:r>
          </m:sub>
        </m:sSub>
      </m:oMath>
      <w:r>
        <w:rPr>
          <w:rFonts w:hint="eastAsia"/>
        </w:rPr>
        <w:t>归一化来保证训练的稳定性（式</w:t>
      </w:r>
      <w:r>
        <w:rPr>
          <w:rFonts w:hint="eastAsia"/>
        </w:rPr>
        <w:t>13</w:t>
      </w:r>
      <w:r>
        <w:rPr>
          <w:rFonts w:hint="eastAsia"/>
        </w:rPr>
        <w:t>）。</w:t>
      </w:r>
    </w:p>
    <w:tbl>
      <w:tblPr>
        <w:tblStyle w:val="a8"/>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670"/>
        <w:gridCol w:w="1559"/>
      </w:tblGrid>
      <w:tr w:rsidR="00911283">
        <w:trPr>
          <w:trHeight w:val="538"/>
        </w:trPr>
        <w:tc>
          <w:tcPr>
            <w:tcW w:w="1384" w:type="dxa"/>
            <w:vAlign w:val="center"/>
          </w:tcPr>
          <w:p w:rsidR="00911283" w:rsidRDefault="00911283">
            <w:pPr>
              <w:jc w:val="center"/>
            </w:pPr>
          </w:p>
        </w:tc>
        <w:tc>
          <w:tcPr>
            <w:tcW w:w="5670" w:type="dxa"/>
            <w:vAlign w:val="center"/>
          </w:tcPr>
          <w:p w:rsidR="00911283" w:rsidRDefault="00240CBF">
            <w:pPr>
              <w:jc w:val="center"/>
            </w:pPr>
            <m:oMathPara>
              <m:oMath>
                <m:sSubSup>
                  <m:sSubSupPr>
                    <m:ctrlPr>
                      <w:rPr>
                        <w:rFonts w:ascii="Cambria Math" w:hAnsi="Cambria Math"/>
                      </w:rPr>
                    </m:ctrlPr>
                  </m:sSubSupPr>
                  <m:e>
                    <m:r>
                      <m:rPr>
                        <m:sty m:val="bi"/>
                      </m:rPr>
                      <w:rPr>
                        <w:rFonts w:ascii="Cambria Math" w:hAnsi="Cambria Math"/>
                      </w:rPr>
                      <m:t>s</m:t>
                    </m:r>
                  </m:e>
                  <m:sub>
                    <m:r>
                      <w:rPr>
                        <w:rFonts w:ascii="Cambria Math" w:hAnsi="Cambria Math"/>
                      </w:rPr>
                      <m:t>t</m:t>
                    </m: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m:rPr>
                        <m:sty m:val="bi"/>
                      </m:rPr>
                      <w:rPr>
                        <w:rFonts w:ascii="Cambria Math" w:hAnsi="Cambria Math"/>
                      </w:rPr>
                      <m:t>s</m:t>
                    </m:r>
                  </m:e>
                  <m:sub>
                    <m:r>
                      <w:rPr>
                        <w:rFonts w:ascii="Cambria Math" w:hAnsi="Cambria Math"/>
                      </w:rPr>
                      <m:t>t</m:t>
                    </m:r>
                  </m:sub>
                </m:sSub>
                <m:r>
                  <w:rPr>
                    <w:rFonts w:ascii="Cambria Math" w:hAnsi="Cambria Math"/>
                  </w:rPr>
                  <m:t>-</m:t>
                </m:r>
                <m:r>
                  <m:rPr>
                    <m:sty m:val="p"/>
                  </m:rPr>
                  <w:rPr>
                    <w:rFonts w:ascii="Cambria Math" w:hAnsi="Cambria Math"/>
                  </w:rPr>
                  <m:t>mean</m:t>
                </m:r>
                <m:r>
                  <m:rPr>
                    <m:scr m:val="script"/>
                  </m:rPr>
                  <w:rPr>
                    <w:rFonts w:ascii="Cambria Math" w:hAnsi="Cambria Math"/>
                  </w:rPr>
                  <m:t>⁡(S))/</m:t>
                </m:r>
                <m:r>
                  <m:rPr>
                    <m:sty m:val="p"/>
                  </m:rPr>
                  <w:rPr>
                    <w:rFonts w:ascii="Cambria Math" w:hAnsi="Cambria Math"/>
                  </w:rPr>
                  <m:t>std</m:t>
                </m:r>
                <m:r>
                  <m:rPr>
                    <m:scr m:val="script"/>
                  </m:rPr>
                  <w:rPr>
                    <w:rFonts w:ascii="Cambria Math" w:hAnsi="Cambria Math"/>
                  </w:rPr>
                  <m:t>⁡(S)</m:t>
                </m:r>
              </m:oMath>
            </m:oMathPara>
          </w:p>
        </w:tc>
        <w:tc>
          <w:tcPr>
            <w:tcW w:w="1559" w:type="dxa"/>
            <w:vAlign w:val="center"/>
          </w:tcPr>
          <w:p w:rsidR="00911283" w:rsidRDefault="00240CBF">
            <w:pPr>
              <w:jc w:val="right"/>
            </w:pPr>
            <w:r>
              <w:rPr>
                <w:rFonts w:hint="eastAsia"/>
              </w:rPr>
              <w:t>（</w:t>
            </w:r>
            <w:r>
              <w:rPr>
                <w:rFonts w:hint="eastAsia"/>
              </w:rPr>
              <w:t>13</w:t>
            </w:r>
            <w:r>
              <w:rPr>
                <w:rFonts w:hint="eastAsia"/>
              </w:rPr>
              <w:t>）</w:t>
            </w:r>
          </w:p>
        </w:tc>
      </w:tr>
    </w:tbl>
    <w:p w:rsidR="00911283" w:rsidRDefault="00240CBF">
      <w:pPr>
        <w:ind w:firstLine="420"/>
      </w:pPr>
      <w:r>
        <w:rPr>
          <w:rFonts w:hint="eastAsia"/>
        </w:rPr>
        <w:t>其中</w:t>
      </w:r>
      <m:oMath>
        <m:r>
          <m:rPr>
            <m:scr m:val="script"/>
          </m:rPr>
          <w:rPr>
            <w:rFonts w:ascii="Cambria Math" w:hAnsi="Cambria Math"/>
          </w:rPr>
          <m:t>S</m:t>
        </m:r>
      </m:oMath>
      <w:r>
        <w:rPr>
          <w:rFonts w:hint="eastAsia"/>
        </w:rPr>
        <w:t>为存储在缓冲区中的所有状态，</w:t>
      </w:r>
      <m:oMath>
        <m:r>
          <m:rPr>
            <m:sty m:val="p"/>
          </m:rPr>
          <w:rPr>
            <w:rFonts w:ascii="Cambria Math" w:hAnsi="Cambria Math"/>
          </w:rPr>
          <m:t>std</m:t>
        </m:r>
        <m:r>
          <w:rPr>
            <w:rFonts w:ascii="Cambria Math" w:hAnsi="Cambria Math"/>
          </w:rPr>
          <m:t>⁡</m:t>
        </m:r>
      </m:oMath>
      <w:r>
        <w:rPr>
          <w:rFonts w:hint="eastAsia"/>
        </w:rPr>
        <w:t>表示标准差，</w:t>
      </w:r>
      <m:oMath>
        <m:sSub>
          <m:sSubPr>
            <m:ctrlPr>
              <w:rPr>
                <w:rFonts w:ascii="Cambria Math" w:hAnsi="Cambria Math"/>
              </w:rPr>
            </m:ctrlPr>
          </m:sSubPr>
          <m:e>
            <m:r>
              <m:rPr>
                <m:sty m:val="bi"/>
              </m:rPr>
              <w:rPr>
                <w:rFonts w:ascii="Cambria Math" w:hAnsi="Cambria Math"/>
              </w:rPr>
              <m:t>s</m:t>
            </m:r>
          </m:e>
          <m:sub>
            <m:r>
              <w:rPr>
                <w:rFonts w:ascii="Cambria Math" w:hAnsi="Cambria Math"/>
              </w:rPr>
              <m:t>t</m:t>
            </m:r>
          </m:sub>
        </m:sSub>
      </m:oMath>
      <w:r>
        <w:rPr>
          <w:rFonts w:hint="eastAsia"/>
        </w:rPr>
        <w:t>中的误差积分项归一化的方法是将其除以</w:t>
      </w:r>
      <w:r>
        <w:rPr>
          <w:rFonts w:hint="eastAsia"/>
        </w:rPr>
        <w:t>100</w:t>
      </w:r>
      <w:r>
        <w:rPr>
          <w:rFonts w:hint="eastAsia"/>
        </w:rPr>
        <w:t>，使其足够小以稳定的神经网络训练过程。</w:t>
      </w:r>
    </w:p>
    <w:p w:rsidR="00911283" w:rsidRDefault="00240CBF">
      <w:pPr>
        <w:ind w:firstLine="420"/>
      </w:pPr>
      <w:r>
        <w:rPr>
          <w:rFonts w:hint="eastAsia"/>
        </w:rPr>
        <w:t>动作在每一步输出</w:t>
      </w:r>
      <m:oMath>
        <m:sSub>
          <m:sSubPr>
            <m:ctrlPr>
              <w:rPr>
                <w:rFonts w:ascii="Cambria Math" w:hAnsi="Cambria Math"/>
              </w:rPr>
            </m:ctrlPr>
          </m:sSubPr>
          <m:e>
            <m:r>
              <w:rPr>
                <w:rFonts w:ascii="Cambria Math" w:hAnsi="Cambria Math" w:hint="eastAsia"/>
              </w:rPr>
              <m:t>k</m:t>
            </m:r>
          </m:e>
          <m:sub>
            <m:r>
              <w:rPr>
                <w:rFonts w:ascii="Cambria Math" w:hAnsi="Cambria Math" w:hint="eastAsia"/>
              </w:rPr>
              <m:t>t</m:t>
            </m:r>
          </m:sub>
        </m:sSub>
      </m:oMath>
      <w:r>
        <w:rPr>
          <w:rFonts w:hint="eastAsia"/>
        </w:rPr>
        <w:t>和</w:t>
      </w:r>
      <m:oMath>
        <m:sSub>
          <m:sSubPr>
            <m:ctrlPr>
              <w:rPr>
                <w:rFonts w:ascii="Cambria Math" w:hAnsi="Cambria Math"/>
              </w:rPr>
            </m:ctrlPr>
          </m:sSubPr>
          <m:e>
            <m:r>
              <w:rPr>
                <w:rFonts w:ascii="Cambria Math" w:hAnsi="Cambria Math"/>
              </w:rPr>
              <m:t>g</m:t>
            </m:r>
          </m:e>
          <m:sub>
            <m:r>
              <w:rPr>
                <w:rFonts w:ascii="Cambria Math" w:hAnsi="Cambria Math" w:hint="eastAsia"/>
              </w:rPr>
              <m:t>t</m:t>
            </m:r>
          </m:sub>
        </m:sSub>
      </m:oMath>
      <w:r>
        <w:t>，</w:t>
      </w:r>
      <m:oMath>
        <m:sSub>
          <m:sSubPr>
            <m:ctrlPr>
              <w:rPr>
                <w:rFonts w:ascii="Cambria Math" w:hAnsi="Cambria Math"/>
              </w:rPr>
            </m:ctrlPr>
          </m:sSubPr>
          <m:e>
            <m:r>
              <w:rPr>
                <w:rFonts w:ascii="Cambria Math" w:hAnsi="Cambria Math" w:hint="eastAsia"/>
              </w:rPr>
              <m:t>k</m:t>
            </m:r>
          </m:e>
          <m:sub>
            <m:r>
              <w:rPr>
                <w:rFonts w:ascii="Cambria Math" w:hAnsi="Cambria Math" w:hint="eastAsia"/>
              </w:rPr>
              <m:t>t</m:t>
            </m:r>
          </m:sub>
        </m:sSub>
      </m:oMath>
      <w:r>
        <w:rPr>
          <w:rFonts w:hint="eastAsia"/>
        </w:rPr>
        <w:t>包括一级过热器至二级减温器，二级过热器</w:t>
      </w:r>
      <w:proofErr w:type="gramStart"/>
      <w:r>
        <w:rPr>
          <w:rFonts w:hint="eastAsia"/>
        </w:rPr>
        <w:t>至出口</w:t>
      </w:r>
      <w:proofErr w:type="gramEnd"/>
      <w:r>
        <w:rPr>
          <w:rFonts w:hint="eastAsia"/>
        </w:rPr>
        <w:t>的自适应</w:t>
      </w:r>
      <w:r>
        <w:rPr>
          <w:rFonts w:hint="eastAsia"/>
        </w:rPr>
        <w:t>PID</w:t>
      </w:r>
      <w:r>
        <w:rPr>
          <w:rFonts w:hint="eastAsia"/>
        </w:rPr>
        <w:t>增益。</w:t>
      </w:r>
      <m:oMath>
        <m:sSub>
          <m:sSubPr>
            <m:ctrlPr>
              <w:rPr>
                <w:rFonts w:ascii="Cambria Math" w:hAnsi="Cambria Math"/>
              </w:rPr>
            </m:ctrlPr>
          </m:sSubPr>
          <m:e>
            <m:r>
              <w:rPr>
                <w:rFonts w:ascii="Cambria Math" w:hAnsi="Cambria Math" w:hint="eastAsia"/>
              </w:rPr>
              <m:t>k</m:t>
            </m:r>
          </m:e>
          <m:sub>
            <m:r>
              <w:rPr>
                <w:rFonts w:ascii="Cambria Math" w:hAnsi="Cambria Math" w:hint="eastAsia"/>
              </w:rPr>
              <m:t>t</m:t>
            </m:r>
          </m:sub>
        </m:sSub>
      </m:oMath>
      <w:r>
        <w:rPr>
          <w:rFonts w:hint="eastAsia"/>
        </w:rPr>
        <w:t>的具体内容如式</w:t>
      </w:r>
      <w:r>
        <w:rPr>
          <w:rFonts w:hint="eastAsia"/>
        </w:rPr>
        <w:t>14</w:t>
      </w:r>
      <w:r>
        <w:rPr>
          <w:rFonts w:hint="eastAsia"/>
        </w:rPr>
        <w:t>所示，其中每个</w:t>
      </w:r>
      <m:oMath>
        <m:sSub>
          <m:sSubPr>
            <m:ctrlPr>
              <w:rPr>
                <w:rFonts w:ascii="Cambria Math" w:hAnsi="Cambria Math"/>
              </w:rPr>
            </m:ctrlPr>
          </m:sSubPr>
          <m:e>
            <m:r>
              <w:rPr>
                <w:rFonts w:ascii="Cambria Math" w:hAnsi="Cambria Math" w:hint="eastAsia"/>
              </w:rPr>
              <m:t>k</m:t>
            </m:r>
          </m:e>
          <m:sub>
            <m:r>
              <w:rPr>
                <w:rFonts w:ascii="Cambria Math" w:hAnsi="Cambria Math" w:hint="eastAsia"/>
              </w:rPr>
              <m:t>t</m:t>
            </m:r>
          </m:sub>
        </m:sSub>
      </m:oMath>
      <w:r>
        <w:rPr>
          <w:rFonts w:hint="eastAsia"/>
        </w:rPr>
        <w:t>由式</w:t>
      </w:r>
      <w:r>
        <w:rPr>
          <w:rFonts w:hint="eastAsia"/>
        </w:rPr>
        <w:t>15</w:t>
      </w:r>
      <w:r>
        <w:rPr>
          <w:rFonts w:hint="eastAsia"/>
        </w:rPr>
        <w:t>所示的各个环节的自适应增益</w:t>
      </w:r>
      <w:r>
        <w:rPr>
          <w:rFonts w:hint="eastAsia"/>
        </w:rPr>
        <w:t>P</w:t>
      </w:r>
      <w:r>
        <w:rPr>
          <w:rFonts w:hint="eastAsia"/>
        </w:rPr>
        <w:t>、</w:t>
      </w:r>
      <w:r>
        <w:rPr>
          <w:rFonts w:hint="eastAsia"/>
        </w:rPr>
        <w:t>I</w:t>
      </w:r>
      <w:r>
        <w:rPr>
          <w:rFonts w:hint="eastAsia"/>
        </w:rPr>
        <w:t>和</w:t>
      </w:r>
      <w:r>
        <w:rPr>
          <w:rFonts w:hint="eastAsia"/>
        </w:rPr>
        <w:t>D</w:t>
      </w:r>
      <w:r>
        <w:rPr>
          <w:rFonts w:hint="eastAsia"/>
        </w:rPr>
        <w:t>组成。</w:t>
      </w:r>
    </w:p>
    <w:tbl>
      <w:tblPr>
        <w:tblStyle w:val="a8"/>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670"/>
        <w:gridCol w:w="1559"/>
      </w:tblGrid>
      <w:tr w:rsidR="00911283">
        <w:trPr>
          <w:trHeight w:val="538"/>
        </w:trPr>
        <w:tc>
          <w:tcPr>
            <w:tcW w:w="1384" w:type="dxa"/>
            <w:vAlign w:val="center"/>
          </w:tcPr>
          <w:p w:rsidR="00911283" w:rsidRDefault="00911283">
            <w:pPr>
              <w:jc w:val="center"/>
            </w:pPr>
          </w:p>
        </w:tc>
        <w:tc>
          <w:tcPr>
            <w:tcW w:w="5670" w:type="dxa"/>
            <w:vAlign w:val="center"/>
          </w:tcPr>
          <w:p w:rsidR="00911283" w:rsidRDefault="00240CBF">
            <w:pPr>
              <w:jc w:val="center"/>
            </w:pPr>
            <m:oMathPara>
              <m:oMath>
                <m:sSub>
                  <m:sSubPr>
                    <m:ctrlPr>
                      <w:rPr>
                        <w:rFonts w:ascii="Cambria Math" w:hAnsi="Cambria Math"/>
                      </w:rPr>
                    </m:ctrlPr>
                  </m:sSubPr>
                  <m:e>
                    <m:r>
                      <m:rPr>
                        <m:sty m:val="bi"/>
                      </m:rPr>
                      <w:rPr>
                        <w:rFonts w:ascii="Cambria Math" w:hAnsi="Cambria Math"/>
                      </w:rPr>
                      <m:t>k</m:t>
                    </m:r>
                  </m:e>
                  <m:sub>
                    <m:r>
                      <w:rPr>
                        <w:rFonts w:ascii="Cambria Math" w:hAnsi="Cambria Math"/>
                      </w:rPr>
                      <m:t>t</m:t>
                    </m:r>
                  </m:sub>
                </m:sSub>
                <m:r>
                  <w:rPr>
                    <w:rFonts w:ascii="Cambria Math" w:hAnsi="Cambria Math"/>
                  </w:rPr>
                  <m:t>={</m:t>
                </m:r>
                <m:sSubSup>
                  <m:sSubSupPr>
                    <m:ctrlPr>
                      <w:rPr>
                        <w:rFonts w:ascii="Cambria Math" w:hAnsi="Cambria Math"/>
                      </w:rPr>
                    </m:ctrlPr>
                  </m:sSubSupPr>
                  <m:e>
                    <m:r>
                      <m:rPr>
                        <m:sty m:val="bi"/>
                      </m:rPr>
                      <w:rPr>
                        <w:rFonts w:ascii="Cambria Math" w:hAnsi="Cambria Math"/>
                      </w:rPr>
                      <m:t>k</m:t>
                    </m:r>
                  </m:e>
                  <m:sub>
                    <m:r>
                      <w:rPr>
                        <w:rFonts w:ascii="Cambria Math" w:hAnsi="Cambria Math"/>
                      </w:rPr>
                      <m:t>t</m:t>
                    </m:r>
                  </m:sub>
                  <m:sup>
                    <m:r>
                      <w:rPr>
                        <w:rFonts w:ascii="Cambria Math" w:hAnsi="Cambria Math"/>
                      </w:rPr>
                      <m:t>(</m:t>
                    </m:r>
                    <m:limUpp>
                      <m:limUppPr>
                        <m:ctrlPr>
                          <w:rPr>
                            <w:rFonts w:ascii="Cambria Math" w:hAnsi="Cambria Math"/>
                          </w:rPr>
                        </m:ctrlPr>
                      </m:limUppPr>
                      <m:e>
                        <m:r>
                          <w:rPr>
                            <w:rFonts w:ascii="Cambria Math" w:hAnsi="Cambria Math"/>
                          </w:rPr>
                          <m:t>x</m:t>
                        </m:r>
                      </m:e>
                      <m:lim>
                        <m:r>
                          <w:rPr>
                            <w:rFonts w:ascii="Cambria Math" w:hAnsi="Cambria Math"/>
                          </w:rPr>
                          <m:t>˙</m:t>
                        </m:r>
                      </m:lim>
                    </m:limUpp>
                    <m:r>
                      <w:rPr>
                        <w:rFonts w:ascii="Cambria Math" w:hAnsi="Cambria Math"/>
                      </w:rPr>
                      <m:t>)</m:t>
                    </m:r>
                  </m:sup>
                </m:sSubSup>
                <m:r>
                  <w:rPr>
                    <w:rFonts w:ascii="Cambria Math" w:hAnsi="Cambria Math"/>
                  </w:rPr>
                  <m:t>,</m:t>
                </m:r>
                <m:sSubSup>
                  <m:sSubSupPr>
                    <m:ctrlPr>
                      <w:rPr>
                        <w:rFonts w:ascii="Cambria Math" w:hAnsi="Cambria Math"/>
                      </w:rPr>
                    </m:ctrlPr>
                  </m:sSubSupPr>
                  <m:e>
                    <m:r>
                      <m:rPr>
                        <m:sty m:val="bi"/>
                      </m:rPr>
                      <w:rPr>
                        <w:rFonts w:ascii="Cambria Math" w:hAnsi="Cambria Math"/>
                      </w:rPr>
                      <m:t>k</m:t>
                    </m:r>
                  </m:e>
                  <m:sub>
                    <m:r>
                      <w:rPr>
                        <w:rFonts w:ascii="Cambria Math" w:hAnsi="Cambria Math"/>
                      </w:rPr>
                      <m:t>t</m:t>
                    </m:r>
                  </m:sub>
                  <m:sup>
                    <m: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r>
                      <w:rPr>
                        <w:rFonts w:ascii="Cambria Math" w:hAnsi="Cambria Math"/>
                      </w:rPr>
                      <m:t>)</m:t>
                    </m:r>
                  </m:sup>
                </m:sSubSup>
                <m:r>
                  <w:rPr>
                    <w:rFonts w:ascii="Cambria Math" w:hAnsi="Cambria Math"/>
                  </w:rPr>
                  <m:t>}=</m:t>
                </m:r>
                <m:sSub>
                  <m:sSubPr>
                    <m:ctrlPr>
                      <w:rPr>
                        <w:rFonts w:ascii="Cambria Math" w:hAnsi="Cambria Math"/>
                      </w:rPr>
                    </m:ctrlPr>
                  </m:sSubPr>
                  <m:e>
                    <m:r>
                      <m:rPr>
                        <m:sty m:val="bi"/>
                      </m:rPr>
                      <w:rPr>
                        <w:rFonts w:ascii="Cambria Math" w:hAnsi="Cambria Math"/>
                      </w:rPr>
                      <m:t>a</m:t>
                    </m:r>
                  </m:e>
                  <m:sub>
                    <m:r>
                      <m:rPr>
                        <m:sty m:val="p"/>
                      </m:rPr>
                      <w:rPr>
                        <w:rFonts w:ascii="Cambria Math" w:hAnsi="Cambria Math"/>
                      </w:rPr>
                      <m:t>t</m:t>
                    </m:r>
                  </m:sub>
                </m:sSub>
                <m:r>
                  <w:rPr>
                    <w:rFonts w:ascii="Cambria Math" w:hAnsi="Cambria Math"/>
                  </w:rPr>
                  <m:t>×</m:t>
                </m:r>
                <m:sSub>
                  <m:sSubPr>
                    <m:ctrlPr>
                      <w:rPr>
                        <w:rFonts w:ascii="Cambria Math" w:hAnsi="Cambria Math"/>
                      </w:rPr>
                    </m:ctrlPr>
                  </m:sSubPr>
                  <m:e>
                    <m:r>
                      <m:rPr>
                        <m:sty m:val="bi"/>
                      </m:rPr>
                      <w:rPr>
                        <w:rFonts w:ascii="Cambria Math" w:hAnsi="Cambria Math"/>
                      </w:rPr>
                      <m:t>k</m:t>
                    </m:r>
                  </m:e>
                  <m:sub>
                    <m:r>
                      <m:rPr>
                        <m:sty m:val="p"/>
                      </m:rPr>
                      <w:rPr>
                        <w:rFonts w:ascii="Cambria Math" w:hAnsi="Cambria Math"/>
                      </w:rPr>
                      <m:t>base</m:t>
                    </m:r>
                  </m:sub>
                </m:sSub>
              </m:oMath>
            </m:oMathPara>
          </w:p>
        </w:tc>
        <w:tc>
          <w:tcPr>
            <w:tcW w:w="1559" w:type="dxa"/>
            <w:vAlign w:val="center"/>
          </w:tcPr>
          <w:p w:rsidR="00911283" w:rsidRDefault="00240CBF">
            <w:pPr>
              <w:jc w:val="right"/>
            </w:pPr>
            <w:r>
              <w:rPr>
                <w:rFonts w:hint="eastAsia"/>
              </w:rPr>
              <w:t>（</w:t>
            </w:r>
            <w:r>
              <w:rPr>
                <w:rFonts w:hint="eastAsia"/>
              </w:rPr>
              <w:t>14</w:t>
            </w:r>
            <w:r>
              <w:rPr>
                <w:rFonts w:hint="eastAsia"/>
              </w:rPr>
              <w:t>）</w:t>
            </w:r>
          </w:p>
        </w:tc>
      </w:tr>
      <w:tr w:rsidR="00911283">
        <w:trPr>
          <w:trHeight w:val="538"/>
        </w:trPr>
        <w:tc>
          <w:tcPr>
            <w:tcW w:w="1384" w:type="dxa"/>
          </w:tcPr>
          <w:p w:rsidR="00911283" w:rsidRDefault="00911283">
            <w:pPr>
              <w:jc w:val="center"/>
            </w:pPr>
          </w:p>
        </w:tc>
        <w:tc>
          <w:tcPr>
            <w:tcW w:w="5670" w:type="dxa"/>
          </w:tcPr>
          <w:p w:rsidR="00911283" w:rsidRDefault="00240CBF">
            <w:pPr>
              <w:jc w:val="center"/>
            </w:pPr>
            <m:oMathPara>
              <m:oMath>
                <m:sSubSup>
                  <m:sSubSupPr>
                    <m:ctrlPr>
                      <w:rPr>
                        <w:rFonts w:ascii="Cambria Math" w:hAnsi="Cambria Math"/>
                      </w:rPr>
                    </m:ctrlPr>
                  </m:sSubSupPr>
                  <m:e>
                    <m:r>
                      <m:rPr>
                        <m:sty m:val="bi"/>
                      </m:rPr>
                      <w:rPr>
                        <w:rFonts w:ascii="Cambria Math" w:hAnsi="Cambria Math"/>
                      </w:rPr>
                      <m:t>k</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p</m:t>
                    </m:r>
                  </m:sub>
                  <m:sup>
                    <m:r>
                      <w:rPr>
                        <w:rFonts w:ascii="Cambria Math" w:hAnsi="Cambria Math"/>
                      </w:rPr>
                      <m:t>()</m:t>
                    </m:r>
                  </m:sup>
                </m:sSubSup>
                <m:r>
                  <w:rPr>
                    <w:rFonts w:ascii="Cambria Math" w:hAnsi="Cambria Math"/>
                  </w:rPr>
                  <m:t>(t),</m:t>
                </m:r>
                <m:sSubSup>
                  <m:sSubSupPr>
                    <m:ctrlPr>
                      <w:rPr>
                        <w:rFonts w:ascii="Cambria Math" w:hAnsi="Cambria Math"/>
                      </w:rPr>
                    </m:ctrlPr>
                  </m:sSubSupPr>
                  <m:e>
                    <m:r>
                      <w:rPr>
                        <w:rFonts w:ascii="Cambria Math" w:hAnsi="Cambria Math"/>
                      </w:rPr>
                      <m:t>k</m:t>
                    </m:r>
                  </m:e>
                  <m:sub>
                    <m:r>
                      <w:rPr>
                        <w:rFonts w:ascii="Cambria Math" w:hAnsi="Cambria Math"/>
                      </w:rPr>
                      <m:t>i</m:t>
                    </m:r>
                  </m:sub>
                  <m:sup>
                    <m:r>
                      <w:rPr>
                        <w:rFonts w:ascii="Cambria Math" w:hAnsi="Cambria Math"/>
                      </w:rPr>
                      <m:t>()</m:t>
                    </m:r>
                  </m:sup>
                </m:sSubSup>
                <m:r>
                  <w:rPr>
                    <w:rFonts w:ascii="Cambria Math" w:hAnsi="Cambria Math"/>
                  </w:rPr>
                  <m:t>(t),</m:t>
                </m:r>
                <m:sSubSup>
                  <m:sSubSupPr>
                    <m:ctrlPr>
                      <w:rPr>
                        <w:rFonts w:ascii="Cambria Math" w:hAnsi="Cambria Math"/>
                      </w:rPr>
                    </m:ctrlPr>
                  </m:sSubSupPr>
                  <m:e>
                    <m:r>
                      <w:rPr>
                        <w:rFonts w:ascii="Cambria Math" w:hAnsi="Cambria Math"/>
                      </w:rPr>
                      <m:t>k</m:t>
                    </m:r>
                  </m:e>
                  <m:sub>
                    <m:r>
                      <w:rPr>
                        <w:rFonts w:ascii="Cambria Math" w:hAnsi="Cambria Math"/>
                      </w:rPr>
                      <m:t>d</m:t>
                    </m:r>
                  </m:sub>
                  <m:sup>
                    <m:r>
                      <w:rPr>
                        <w:rFonts w:ascii="Cambria Math" w:hAnsi="Cambria Math"/>
                      </w:rPr>
                      <m:t>0</m:t>
                    </m:r>
                  </m:sup>
                </m:sSubSup>
                <m:r>
                  <w:rPr>
                    <w:rFonts w:ascii="Cambria Math" w:hAnsi="Cambria Math"/>
                  </w:rPr>
                  <m:t>(t)}</m:t>
                </m:r>
              </m:oMath>
            </m:oMathPara>
          </w:p>
        </w:tc>
        <w:tc>
          <w:tcPr>
            <w:tcW w:w="1559" w:type="dxa"/>
            <w:vAlign w:val="center"/>
          </w:tcPr>
          <w:p w:rsidR="00911283" w:rsidRDefault="00240CBF">
            <w:pPr>
              <w:jc w:val="right"/>
            </w:pPr>
            <w:r>
              <w:rPr>
                <w:rFonts w:hint="eastAsia"/>
              </w:rPr>
              <w:t>（</w:t>
            </w:r>
            <w:r>
              <w:rPr>
                <w:rFonts w:hint="eastAsia"/>
              </w:rPr>
              <w:t>15</w:t>
            </w:r>
            <w:r>
              <w:rPr>
                <w:rFonts w:hint="eastAsia"/>
              </w:rPr>
              <w:t>）</w:t>
            </w:r>
          </w:p>
        </w:tc>
      </w:tr>
      <w:tr w:rsidR="00911283">
        <w:trPr>
          <w:trHeight w:val="538"/>
        </w:trPr>
        <w:tc>
          <w:tcPr>
            <w:tcW w:w="1384" w:type="dxa"/>
          </w:tcPr>
          <w:p w:rsidR="00911283" w:rsidRDefault="00911283">
            <w:pPr>
              <w:jc w:val="center"/>
            </w:pPr>
          </w:p>
        </w:tc>
        <w:tc>
          <w:tcPr>
            <w:tcW w:w="5670" w:type="dxa"/>
          </w:tcPr>
          <w:p w:rsidR="00911283" w:rsidRDefault="00240CBF">
            <w:pPr>
              <w:jc w:val="center"/>
              <w:rPr>
                <w:rFonts w:ascii="Calibri" w:eastAsia="宋体" w:hAnsi="Calibri" w:cs="Times New Roman"/>
              </w:rPr>
            </w:pPr>
            <m:oMathPara>
              <m:oMath>
                <m:r>
                  <w:rPr>
                    <w:rFonts w:ascii="Cambria Math" w:eastAsia="宋体" w:hAnsi="Cambria Math" w:cs="Times New Roman"/>
                  </w:rPr>
                  <m:t>φ(z)=1/(1+</m:t>
                </m:r>
                <m:sSup>
                  <m:sSupPr>
                    <m:ctrlPr>
                      <w:rPr>
                        <w:rFonts w:ascii="Cambria Math" w:eastAsia="宋体" w:hAnsi="Cambria Math" w:cs="Times New Roman"/>
                      </w:rPr>
                    </m:ctrlPr>
                  </m:sSupPr>
                  <m:e>
                    <m:r>
                      <w:rPr>
                        <w:rFonts w:ascii="Cambria Math" w:eastAsia="宋体" w:hAnsi="Cambria Math" w:cs="Times New Roman"/>
                      </w:rPr>
                      <m:t>e</m:t>
                    </m:r>
                  </m:e>
                  <m:sup>
                    <m:r>
                      <w:rPr>
                        <w:rFonts w:ascii="Cambria Math" w:eastAsia="宋体" w:hAnsi="Cambria Math" w:cs="Times New Roman"/>
                      </w:rPr>
                      <m:t>-z</m:t>
                    </m:r>
                  </m:sup>
                </m:sSup>
                <m:r>
                  <w:rPr>
                    <w:rFonts w:ascii="Cambria Math" w:eastAsia="宋体" w:hAnsi="Cambria Math" w:cs="Times New Roman"/>
                  </w:rPr>
                  <m:t>)</m:t>
                </m:r>
              </m:oMath>
            </m:oMathPara>
          </w:p>
        </w:tc>
        <w:tc>
          <w:tcPr>
            <w:tcW w:w="1559" w:type="dxa"/>
            <w:vAlign w:val="center"/>
          </w:tcPr>
          <w:p w:rsidR="00911283" w:rsidRDefault="00240CBF">
            <w:pPr>
              <w:jc w:val="right"/>
            </w:pPr>
            <w:r>
              <w:rPr>
                <w:rFonts w:hint="eastAsia"/>
              </w:rPr>
              <w:t>（</w:t>
            </w:r>
            <w:r>
              <w:rPr>
                <w:rFonts w:hint="eastAsia"/>
              </w:rPr>
              <w:t>16</w:t>
            </w:r>
            <w:r>
              <w:rPr>
                <w:rFonts w:hint="eastAsia"/>
              </w:rPr>
              <w:t>）</w:t>
            </w:r>
          </w:p>
        </w:tc>
      </w:tr>
    </w:tbl>
    <w:p w:rsidR="00911283" w:rsidRDefault="00240CBF">
      <w:r>
        <w:rPr>
          <w:rFonts w:hint="eastAsia"/>
        </w:rPr>
        <w:t>其中</w:t>
      </w:r>
      <m:oMath>
        <m:sSub>
          <m:sSubPr>
            <m:ctrlPr>
              <w:rPr>
                <w:rFonts w:ascii="Cambria Math" w:hAnsi="Cambria Math"/>
              </w:rPr>
            </m:ctrlPr>
          </m:sSubPr>
          <m:e>
            <m:r>
              <m:rPr>
                <m:sty m:val="bi"/>
              </m:rPr>
              <w:rPr>
                <w:rFonts w:ascii="Cambria Math" w:hAnsi="Cambria Math"/>
              </w:rPr>
              <m:t>k</m:t>
            </m:r>
          </m:e>
          <m:sub>
            <m:r>
              <m:rPr>
                <m:sty m:val="p"/>
              </m:rPr>
              <w:rPr>
                <w:rFonts w:ascii="Cambria Math" w:hAnsi="Cambria Math"/>
              </w:rPr>
              <m:t>base</m:t>
            </m:r>
          </m:sub>
        </m:sSub>
      </m:oMath>
      <w:r>
        <w:rPr>
          <w:rFonts w:hint="eastAsia"/>
        </w:rPr>
        <w:t>是基于</w:t>
      </w:r>
      <w:r>
        <w:rPr>
          <w:rFonts w:hint="eastAsia"/>
        </w:rPr>
        <w:t>ZN</w:t>
      </w:r>
      <w:r>
        <w:rPr>
          <w:rFonts w:hint="eastAsia"/>
        </w:rPr>
        <w:t>方法确定的基增益的向量，</w:t>
      </w:r>
      <m:oMath>
        <m:sSub>
          <m:sSubPr>
            <m:ctrlPr>
              <w:rPr>
                <w:rFonts w:ascii="Cambria Math" w:hAnsi="Cambria Math"/>
              </w:rPr>
            </m:ctrlPr>
          </m:sSubPr>
          <m:e>
            <m:r>
              <m:rPr>
                <m:sty m:val="bi"/>
              </m:rPr>
              <w:rPr>
                <w:rFonts w:ascii="Cambria Math" w:hAnsi="Cambria Math"/>
              </w:rPr>
              <m:t>a</m:t>
            </m:r>
          </m:e>
          <m:sub>
            <m:r>
              <m:rPr>
                <m:sty m:val="p"/>
              </m:rPr>
              <w:rPr>
                <w:rFonts w:ascii="Cambria Math" w:hAnsi="Cambria Math"/>
              </w:rPr>
              <m:t>t</m:t>
            </m:r>
          </m:sub>
        </m:sSub>
      </m:oMath>
      <w:r>
        <w:rPr>
          <w:rFonts w:hint="eastAsia"/>
        </w:rPr>
        <w:t>是动作部分输出层的输出向量，其激活函数</w:t>
      </w:r>
      <w:r>
        <w:rPr>
          <w:rFonts w:hint="eastAsia"/>
        </w:rPr>
        <w:t>sigmoid</w:t>
      </w:r>
      <w:proofErr w:type="gramStart"/>
      <w:r>
        <w:rPr>
          <w:rFonts w:hint="eastAsia"/>
        </w:rPr>
        <w:t>见式</w:t>
      </w:r>
      <w:proofErr w:type="gramEnd"/>
      <w:r>
        <w:rPr>
          <w:rFonts w:hint="eastAsia"/>
        </w:rPr>
        <w:t>16</w:t>
      </w:r>
      <w:r>
        <w:rPr>
          <w:rFonts w:hint="eastAsia"/>
        </w:rPr>
        <w:t>。因此，</w:t>
      </w:r>
      <m:oMath>
        <m:sSub>
          <m:sSubPr>
            <m:ctrlPr>
              <w:rPr>
                <w:rFonts w:ascii="Cambria Math" w:hAnsi="Cambria Math"/>
              </w:rPr>
            </m:ctrlPr>
          </m:sSubPr>
          <m:e>
            <m:r>
              <m:rPr>
                <m:sty m:val="bi"/>
              </m:rPr>
              <w:rPr>
                <w:rFonts w:ascii="Cambria Math" w:hAnsi="Cambria Math"/>
              </w:rPr>
              <m:t>a</m:t>
            </m:r>
          </m:e>
          <m:sub>
            <m:r>
              <m:rPr>
                <m:sty m:val="p"/>
              </m:rPr>
              <w:rPr>
                <w:rFonts w:ascii="Cambria Math" w:hAnsi="Cambria Math"/>
              </w:rPr>
              <m:t>t</m:t>
            </m:r>
          </m:sub>
        </m:sSub>
      </m:oMath>
      <w:r>
        <w:rPr>
          <w:rFonts w:hint="eastAsia"/>
        </w:rPr>
        <w:t>和</w:t>
      </w:r>
      <m:oMath>
        <m:sSub>
          <m:sSubPr>
            <m:ctrlPr>
              <w:rPr>
                <w:rFonts w:ascii="Cambria Math" w:hAnsi="Cambria Math"/>
              </w:rPr>
            </m:ctrlPr>
          </m:sSubPr>
          <m:e>
            <m:r>
              <m:rPr>
                <m:sty m:val="bi"/>
              </m:rPr>
              <w:rPr>
                <w:rFonts w:ascii="Cambria Math" w:hAnsi="Cambria Math"/>
              </w:rPr>
              <m:t>k</m:t>
            </m:r>
          </m:e>
          <m:sub>
            <m:r>
              <w:rPr>
                <w:rFonts w:ascii="Cambria Math" w:hAnsi="Cambria Math"/>
              </w:rPr>
              <m:t>t</m:t>
            </m:r>
          </m:sub>
        </m:sSub>
      </m:oMath>
      <w:r>
        <w:rPr>
          <w:rFonts w:hint="eastAsia"/>
        </w:rPr>
        <w:t>的范围分别是</w:t>
      </w:r>
      <w:r>
        <w:rPr>
          <w:rFonts w:hint="eastAsia"/>
        </w:rPr>
        <w:t>[0,1]</w:t>
      </w:r>
      <w:r>
        <w:rPr>
          <w:rFonts w:hint="eastAsia"/>
        </w:rPr>
        <w:t>和</w:t>
      </w:r>
      <w:r>
        <w:rPr>
          <w:rFonts w:hint="eastAsia"/>
        </w:rPr>
        <w:t>[0,</w:t>
      </w:r>
      <m:oMath>
        <m:sSub>
          <m:sSubPr>
            <m:ctrlPr>
              <w:rPr>
                <w:rFonts w:ascii="Cambria Math" w:hAnsi="Cambria Math"/>
              </w:rPr>
            </m:ctrlPr>
          </m:sSubPr>
          <m:e>
            <m:r>
              <m:rPr>
                <m:sty m:val="bi"/>
              </m:rPr>
              <w:rPr>
                <w:rFonts w:ascii="Cambria Math" w:hAnsi="Cambria Math"/>
              </w:rPr>
              <m:t>k</m:t>
            </m:r>
          </m:e>
          <m:sub>
            <m:r>
              <m:rPr>
                <m:sty m:val="p"/>
              </m:rPr>
              <w:rPr>
                <w:rFonts w:ascii="Cambria Math" w:hAnsi="Cambria Math"/>
              </w:rPr>
              <m:t>base</m:t>
            </m:r>
          </m:sub>
        </m:sSub>
      </m:oMath>
      <w:r>
        <w:rPr>
          <w:rFonts w:hint="eastAsia"/>
        </w:rPr>
        <w:t>]</w:t>
      </w:r>
      <w:r>
        <w:rPr>
          <w:rFonts w:hint="eastAsia"/>
        </w:rPr>
        <w:t>。</w:t>
      </w:r>
      <m:oMath>
        <m:sSub>
          <m:sSubPr>
            <m:ctrlPr>
              <w:rPr>
                <w:rFonts w:ascii="Cambria Math" w:hAnsi="Cambria Math"/>
              </w:rPr>
            </m:ctrlPr>
          </m:sSubPr>
          <m:e>
            <m:r>
              <m:rPr>
                <m:sty m:val="bi"/>
              </m:rPr>
              <w:rPr>
                <w:rFonts w:ascii="Cambria Math" w:hAnsi="Cambria Math"/>
              </w:rPr>
              <m:t>k</m:t>
            </m:r>
          </m:e>
          <m:sub>
            <m:r>
              <w:rPr>
                <w:rFonts w:ascii="Cambria Math" w:hAnsi="Cambria Math"/>
              </w:rPr>
              <m:t>t</m:t>
            </m:r>
          </m:sub>
        </m:sSub>
      </m:oMath>
      <w:r>
        <w:rPr>
          <w:rFonts w:hint="eastAsia"/>
        </w:rPr>
        <w:t>用于自适应</w:t>
      </w:r>
      <w:r>
        <w:rPr>
          <w:rFonts w:hint="eastAsia"/>
        </w:rPr>
        <w:t>PID</w:t>
      </w:r>
      <w:r>
        <w:rPr>
          <w:rFonts w:hint="eastAsia"/>
        </w:rPr>
        <w:t>控制器的函数为式</w:t>
      </w:r>
      <w:r>
        <w:rPr>
          <w:rFonts w:hint="eastAsia"/>
        </w:rPr>
        <w:t>17</w:t>
      </w:r>
      <w:r>
        <w:rPr>
          <w:rFonts w:hint="eastAsia"/>
        </w:rPr>
        <w:t>，其中上括号用于标注方向。</w:t>
      </w:r>
    </w:p>
    <w:tbl>
      <w:tblPr>
        <w:tblStyle w:val="a8"/>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670"/>
        <w:gridCol w:w="1559"/>
      </w:tblGrid>
      <w:tr w:rsidR="00911283">
        <w:trPr>
          <w:trHeight w:val="538"/>
        </w:trPr>
        <w:tc>
          <w:tcPr>
            <w:tcW w:w="1384" w:type="dxa"/>
            <w:vAlign w:val="center"/>
          </w:tcPr>
          <w:p w:rsidR="00911283" w:rsidRDefault="00911283">
            <w:pPr>
              <w:jc w:val="center"/>
            </w:pPr>
          </w:p>
        </w:tc>
        <w:tc>
          <w:tcPr>
            <w:tcW w:w="5670" w:type="dxa"/>
            <w:vAlign w:val="center"/>
          </w:tcPr>
          <w:p w:rsidR="00911283" w:rsidRDefault="00240CBF">
            <w:pPr>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p</m:t>
                    </m:r>
                  </m:sub>
                  <m:sup>
                    <m:r>
                      <w:rPr>
                        <w:rFonts w:ascii="Cambria Math" w:hAnsi="Cambria Math"/>
                      </w:rPr>
                      <m:t>0</m:t>
                    </m:r>
                  </m:sup>
                </m:sSubSup>
                <m:r>
                  <w:rPr>
                    <w:rFonts w:ascii="Cambria Math" w:hAnsi="Cambria Math"/>
                  </w:rPr>
                  <m:t>(t)</m:t>
                </m:r>
                <m:sSubSup>
                  <m:sSubSupPr>
                    <m:ctrlPr>
                      <w:rPr>
                        <w:rFonts w:ascii="Cambria Math" w:hAnsi="Cambria Math"/>
                      </w:rPr>
                    </m:ctrlPr>
                  </m:sSubSupPr>
                  <m:e>
                    <m:r>
                      <w:rPr>
                        <w:rFonts w:ascii="Cambria Math" w:hAnsi="Cambria Math"/>
                      </w:rPr>
                      <m:t>e</m:t>
                    </m:r>
                  </m:e>
                  <m:sub>
                    <m:r>
                      <w:rPr>
                        <w:rFonts w:ascii="Cambria Math" w:hAnsi="Cambria Math"/>
                      </w:rPr>
                      <m:t>t</m:t>
                    </m:r>
                  </m:sub>
                  <m:sup>
                    <m:r>
                      <w:rPr>
                        <w:rFonts w:ascii="Cambria Math" w:hAnsi="Cambria Math"/>
                      </w:rPr>
                      <m:t>0</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i</m:t>
                    </m:r>
                  </m:sub>
                  <m:sup>
                    <m:r>
                      <w:rPr>
                        <w:rFonts w:ascii="Cambria Math" w:hAnsi="Cambria Math"/>
                      </w:rPr>
                      <m:t>0</m:t>
                    </m:r>
                  </m:sup>
                </m:sSubSup>
                <m:r>
                  <w:rPr>
                    <w:rFonts w:ascii="Cambria Math" w:hAnsi="Cambria Math"/>
                  </w:rPr>
                  <m:t>(t)</m:t>
                </m:r>
                <m:nary>
                  <m:naryPr>
                    <m:limLoc m:val="subSup"/>
                    <m:grow m:val="1"/>
                    <m:ctrlPr>
                      <w:rPr>
                        <w:rFonts w:ascii="Cambria Math" w:hAnsi="Cambria Math"/>
                      </w:rPr>
                    </m:ctrlPr>
                  </m:naryPr>
                  <m:sub>
                    <m:r>
                      <w:rPr>
                        <w:rFonts w:ascii="Cambria Math" w:hAnsi="Cambria Math"/>
                      </w:rPr>
                      <m:t>0</m:t>
                    </m:r>
                  </m:sub>
                  <m:sup>
                    <m:r>
                      <w:rPr>
                        <w:rFonts w:ascii="Cambria Math" w:hAnsi="Cambria Math"/>
                      </w:rPr>
                      <m:t>t</m:t>
                    </m:r>
                  </m:sup>
                  <m:e>
                    <m:sSubSup>
                      <m:sSubSupPr>
                        <m:ctrlPr>
                          <w:rPr>
                            <w:rFonts w:ascii="Cambria Math" w:hAnsi="Cambria Math"/>
                          </w:rPr>
                        </m:ctrlPr>
                      </m:sSubSupPr>
                      <m:e>
                        <m:r>
                          <w:rPr>
                            <w:rFonts w:ascii="Cambria Math" w:hAnsi="Cambria Math"/>
                          </w:rPr>
                          <m:t>e</m:t>
                        </m:r>
                      </m:e>
                      <m:sub>
                        <m:r>
                          <w:rPr>
                            <w:rFonts w:ascii="Cambria Math" w:hAnsi="Cambria Math"/>
                          </w:rPr>
                          <m:t>t</m:t>
                        </m:r>
                      </m:sub>
                      <m:sup>
                        <m:r>
                          <w:rPr>
                            <w:rFonts w:ascii="Cambria Math" w:hAnsi="Cambria Math"/>
                          </w:rPr>
                          <m:t>0</m:t>
                        </m:r>
                      </m:sup>
                    </m:sSubSup>
                  </m:e>
                </m:nary>
                <m:r>
                  <w:rPr>
                    <w:rFonts w:ascii="Cambria Math" w:hAnsi="Cambria Math"/>
                  </w:rPr>
                  <m:t>dt+</m:t>
                </m:r>
                <m:sSubSup>
                  <m:sSubSupPr>
                    <m:ctrlPr>
                      <w:rPr>
                        <w:rFonts w:ascii="Cambria Math" w:hAnsi="Cambria Math"/>
                      </w:rPr>
                    </m:ctrlPr>
                  </m:sSubSupPr>
                  <m:e>
                    <m:r>
                      <w:rPr>
                        <w:rFonts w:ascii="Cambria Math" w:hAnsi="Cambria Math"/>
                      </w:rPr>
                      <m:t>k</m:t>
                    </m:r>
                  </m:e>
                  <m:sub>
                    <m:r>
                      <w:rPr>
                        <w:rFonts w:ascii="Cambria Math" w:hAnsi="Cambria Math"/>
                      </w:rPr>
                      <m:t>d</m:t>
                    </m:r>
                  </m:sub>
                  <m:sup>
                    <m:r>
                      <w:rPr>
                        <w:rFonts w:ascii="Cambria Math" w:hAnsi="Cambria Math"/>
                      </w:rPr>
                      <m:t>()</m:t>
                    </m:r>
                  </m:sup>
                </m:sSubSup>
                <m:r>
                  <w:rPr>
                    <w:rFonts w:ascii="Cambria Math" w:hAnsi="Cambria Math"/>
                  </w:rPr>
                  <m:t>(t)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t</m:t>
                        </m:r>
                      </m:sub>
                    </m:sSub>
                  </m:num>
                  <m:den>
                    <m:r>
                      <w:rPr>
                        <w:rFonts w:ascii="Cambria Math" w:hAnsi="Cambria Math"/>
                      </w:rPr>
                      <m:t>dt</m:t>
                    </m:r>
                  </m:den>
                </m:f>
              </m:oMath>
            </m:oMathPara>
          </w:p>
        </w:tc>
        <w:tc>
          <w:tcPr>
            <w:tcW w:w="1559" w:type="dxa"/>
            <w:vAlign w:val="center"/>
          </w:tcPr>
          <w:p w:rsidR="00911283" w:rsidRDefault="00240CBF">
            <w:pPr>
              <w:jc w:val="right"/>
            </w:pPr>
            <w:r>
              <w:rPr>
                <w:rFonts w:hint="eastAsia"/>
              </w:rPr>
              <w:t>（</w:t>
            </w:r>
            <w:r>
              <w:rPr>
                <w:rFonts w:hint="eastAsia"/>
              </w:rPr>
              <w:t>17</w:t>
            </w:r>
            <w:r>
              <w:rPr>
                <w:rFonts w:hint="eastAsia"/>
              </w:rPr>
              <w:t>）</w:t>
            </w:r>
          </w:p>
        </w:tc>
      </w:tr>
    </w:tbl>
    <w:p w:rsidR="00911283" w:rsidRDefault="00240CBF">
      <m:oMath>
        <m:sSub>
          <m:sSubPr>
            <m:ctrlPr>
              <w:rPr>
                <w:rFonts w:ascii="Cambria Math" w:hAnsi="Cambria Math"/>
              </w:rPr>
            </m:ctrlPr>
          </m:sSubPr>
          <m:e>
            <m:r>
              <w:rPr>
                <w:rFonts w:ascii="Cambria Math" w:hAnsi="Cambria Math"/>
              </w:rPr>
              <m:t>g</m:t>
            </m:r>
          </m:e>
          <m:sub>
            <m:r>
              <w:rPr>
                <w:rFonts w:ascii="Cambria Math" w:hAnsi="Cambria Math" w:hint="eastAsia"/>
              </w:rPr>
              <m:t>t</m:t>
            </m:r>
          </m:sub>
        </m:sSub>
      </m:oMath>
      <w:r>
        <w:rPr>
          <w:rFonts w:hint="eastAsia"/>
        </w:rPr>
        <w:t>用来确定</w:t>
      </w:r>
      <w:r>
        <w:rPr>
          <w:rFonts w:hint="eastAsia"/>
        </w:rPr>
        <w:t>PID</w:t>
      </w:r>
      <w:r>
        <w:rPr>
          <w:rFonts w:hint="eastAsia"/>
        </w:rPr>
        <w:t>控制器的积分项有多少误差要更新。</w:t>
      </w:r>
      <w:proofErr w:type="gramStart"/>
      <w:r>
        <w:rPr>
          <w:rFonts w:hint="eastAsia"/>
        </w:rPr>
        <w:t>更新方程见式</w:t>
      </w:r>
      <w:proofErr w:type="gramEnd"/>
      <w:r>
        <w:rPr>
          <w:rFonts w:hint="eastAsia"/>
        </w:rPr>
        <w:t>18</w:t>
      </w:r>
      <w:r>
        <w:rPr>
          <w:rFonts w:hint="eastAsia"/>
        </w:rPr>
        <w:t>，</w:t>
      </w:r>
      <m:oMath>
        <m:sSub>
          <m:sSubPr>
            <m:ctrlPr>
              <w:rPr>
                <w:rFonts w:ascii="Cambria Math" w:hAnsi="Cambria Math"/>
              </w:rPr>
            </m:ctrlPr>
          </m:sSubPr>
          <m:e>
            <m:r>
              <m:rPr>
                <m:sty m:val="bi"/>
              </m:rPr>
              <w:rPr>
                <w:rFonts w:ascii="Cambria Math" w:hAnsi="Cambria Math"/>
              </w:rPr>
              <m:t>g</m:t>
            </m:r>
          </m:e>
          <m:sub>
            <m:r>
              <w:rPr>
                <w:rFonts w:ascii="Cambria Math" w:hAnsi="Cambria Math"/>
              </w:rPr>
              <m:t>t</m:t>
            </m:r>
          </m:sub>
        </m:sSub>
      </m:oMath>
      <w:r>
        <w:rPr>
          <w:rFonts w:hint="eastAsia"/>
        </w:rPr>
        <w:t>是为了防止</w:t>
      </w:r>
      <w:r>
        <w:rPr>
          <w:rFonts w:hint="eastAsia"/>
        </w:rPr>
        <w:t>SST</w:t>
      </w:r>
      <w:r>
        <w:rPr>
          <w:rFonts w:hint="eastAsia"/>
        </w:rPr>
        <w:t>调节动作过大而设计的。</w:t>
      </w:r>
    </w:p>
    <w:tbl>
      <w:tblPr>
        <w:tblStyle w:val="a8"/>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670"/>
        <w:gridCol w:w="1559"/>
      </w:tblGrid>
      <w:tr w:rsidR="00911283">
        <w:trPr>
          <w:trHeight w:val="538"/>
        </w:trPr>
        <w:tc>
          <w:tcPr>
            <w:tcW w:w="1384" w:type="dxa"/>
            <w:vAlign w:val="center"/>
          </w:tcPr>
          <w:p w:rsidR="00911283" w:rsidRDefault="00911283">
            <w:pPr>
              <w:jc w:val="center"/>
            </w:pPr>
          </w:p>
        </w:tc>
        <w:tc>
          <w:tcPr>
            <w:tcW w:w="5670" w:type="dxa"/>
            <w:vAlign w:val="center"/>
          </w:tcPr>
          <w:p w:rsidR="00911283" w:rsidRDefault="00240CBF">
            <w:pPr>
              <w:jc w:val="center"/>
            </w:pPr>
            <m:oMathPara>
              <m:oMath>
                <m:nary>
                  <m:naryPr>
                    <m:limLoc m:val="subSup"/>
                    <m:grow m:val="1"/>
                    <m:ctrlPr>
                      <w:rPr>
                        <w:rFonts w:ascii="Cambria Math" w:hAnsi="Cambria Math"/>
                      </w:rPr>
                    </m:ctrlPr>
                  </m:naryPr>
                  <m:sub>
                    <m:r>
                      <w:rPr>
                        <w:rFonts w:ascii="Cambria Math" w:hAnsi="Cambria Math"/>
                      </w:rPr>
                      <m:t>0</m:t>
                    </m:r>
                  </m:sub>
                  <m:sup>
                    <m:r>
                      <w:rPr>
                        <w:rFonts w:ascii="Cambria Math" w:hAnsi="Cambria Math"/>
                      </w:rPr>
                      <m:t>t</m:t>
                    </m:r>
                  </m:sup>
                  <m:e>
                    <m:sSub>
                      <m:sSubPr>
                        <m:ctrlPr>
                          <w:rPr>
                            <w:rFonts w:ascii="Cambria Math" w:hAnsi="Cambria Math"/>
                          </w:rPr>
                        </m:ctrlPr>
                      </m:sSubPr>
                      <m:e>
                        <m:r>
                          <m:rPr>
                            <m:sty m:val="bi"/>
                          </m:rPr>
                          <w:rPr>
                            <w:rFonts w:ascii="Cambria Math" w:hAnsi="Cambria Math"/>
                          </w:rPr>
                          <m:t>e</m:t>
                        </m:r>
                      </m:e>
                      <m:sub>
                        <m:r>
                          <w:rPr>
                            <w:rFonts w:ascii="Cambria Math" w:hAnsi="Cambria Math"/>
                          </w:rPr>
                          <m:t>t</m:t>
                        </m:r>
                      </m:sub>
                    </m:sSub>
                  </m:e>
                </m:nary>
                <m:r>
                  <w:rPr>
                    <w:rFonts w:ascii="Cambria Math" w:hAnsi="Cambria Math"/>
                  </w:rPr>
                  <m:t>dt=</m:t>
                </m:r>
                <m:nary>
                  <m:naryPr>
                    <m:limLoc m:val="subSup"/>
                    <m:grow m:val="1"/>
                    <m:ctrlPr>
                      <w:rPr>
                        <w:rFonts w:ascii="Cambria Math" w:hAnsi="Cambria Math"/>
                      </w:rPr>
                    </m:ctrlPr>
                  </m:naryPr>
                  <m:sub>
                    <m:r>
                      <w:rPr>
                        <w:rFonts w:ascii="Cambria Math" w:hAnsi="Cambria Math"/>
                      </w:rPr>
                      <m:t>0</m:t>
                    </m:r>
                  </m:sub>
                  <m:sup>
                    <m:r>
                      <w:rPr>
                        <w:rFonts w:ascii="Cambria Math" w:hAnsi="Cambria Math"/>
                      </w:rPr>
                      <m:t>t-1</m:t>
                    </m:r>
                  </m:sup>
                  <m:e>
                    <m:sSub>
                      <m:sSubPr>
                        <m:ctrlPr>
                          <w:rPr>
                            <w:rFonts w:ascii="Cambria Math" w:hAnsi="Cambria Math"/>
                          </w:rPr>
                        </m:ctrlPr>
                      </m:sSubPr>
                      <m:e>
                        <m:r>
                          <m:rPr>
                            <m:sty m:val="bi"/>
                          </m:rPr>
                          <w:rPr>
                            <w:rFonts w:ascii="Cambria Math" w:hAnsi="Cambria Math"/>
                          </w:rPr>
                          <m:t>e</m:t>
                        </m:r>
                      </m:e>
                      <m:sub>
                        <m:r>
                          <w:rPr>
                            <w:rFonts w:ascii="Cambria Math" w:hAnsi="Cambria Math"/>
                          </w:rPr>
                          <m:t>t</m:t>
                        </m:r>
                      </m:sub>
                    </m:sSub>
                  </m:e>
                </m:nary>
                <m:r>
                  <w:rPr>
                    <w:rFonts w:ascii="Cambria Math" w:hAnsi="Cambria Math"/>
                  </w:rPr>
                  <m:t>dt+(</m:t>
                </m:r>
                <m:sSub>
                  <m:sSubPr>
                    <m:ctrlPr>
                      <w:rPr>
                        <w:rFonts w:ascii="Cambria Math" w:hAnsi="Cambria Math"/>
                      </w:rPr>
                    </m:ctrlPr>
                  </m:sSubPr>
                  <m:e>
                    <m:r>
                      <m:rPr>
                        <m:sty m:val="bi"/>
                      </m:rP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m:rPr>
                        <m:sty m:val="bi"/>
                      </m:rPr>
                      <w:rPr>
                        <w:rFonts w:ascii="Cambria Math" w:hAnsi="Cambria Math"/>
                      </w:rPr>
                      <m:t>e</m:t>
                    </m:r>
                  </m:e>
                  <m:sub>
                    <m:r>
                      <w:rPr>
                        <w:rFonts w:ascii="Cambria Math" w:hAnsi="Cambria Math"/>
                      </w:rPr>
                      <m:t>t</m:t>
                    </m:r>
                  </m:sub>
                </m:sSub>
                <m:r>
                  <w:rPr>
                    <w:rFonts w:ascii="Cambria Math" w:hAnsi="Cambria Math"/>
                  </w:rPr>
                  <m:t>)</m:t>
                </m:r>
              </m:oMath>
            </m:oMathPara>
          </w:p>
        </w:tc>
        <w:tc>
          <w:tcPr>
            <w:tcW w:w="1559" w:type="dxa"/>
            <w:vAlign w:val="center"/>
          </w:tcPr>
          <w:p w:rsidR="00911283" w:rsidRDefault="00240CBF">
            <w:pPr>
              <w:jc w:val="right"/>
            </w:pPr>
            <w:r>
              <w:rPr>
                <w:rFonts w:hint="eastAsia"/>
              </w:rPr>
              <w:t>（</w:t>
            </w:r>
            <w:r>
              <w:rPr>
                <w:rFonts w:hint="eastAsia"/>
              </w:rPr>
              <w:t>18</w:t>
            </w:r>
            <w:r>
              <w:rPr>
                <w:rFonts w:hint="eastAsia"/>
              </w:rPr>
              <w:t>）</w:t>
            </w:r>
          </w:p>
        </w:tc>
      </w:tr>
      <w:tr w:rsidR="00911283">
        <w:trPr>
          <w:trHeight w:val="538"/>
        </w:trPr>
        <w:tc>
          <w:tcPr>
            <w:tcW w:w="1384" w:type="dxa"/>
            <w:vAlign w:val="center"/>
          </w:tcPr>
          <w:p w:rsidR="00911283" w:rsidRDefault="00911283">
            <w:pPr>
              <w:jc w:val="center"/>
            </w:pPr>
          </w:p>
        </w:tc>
        <w:tc>
          <w:tcPr>
            <w:tcW w:w="5670" w:type="dxa"/>
            <w:vAlign w:val="center"/>
          </w:tcPr>
          <w:p w:rsidR="00911283" w:rsidRDefault="00240CBF">
            <w:pPr>
              <w:jc w:val="center"/>
              <w:rPr>
                <w:rFonts w:ascii="Calibri" w:eastAsia="宋体" w:hAnsi="Calibri" w:cs="Times New Roman"/>
              </w:rPr>
            </w:pPr>
            <m:oMathPara>
              <m:oMath>
                <m:sSub>
                  <m:sSubPr>
                    <m:ctrlPr>
                      <w:rPr>
                        <w:rFonts w:ascii="Cambria Math" w:eastAsia="宋体" w:hAnsi="Cambria Math" w:cs="Times New Roman"/>
                      </w:rPr>
                    </m:ctrlPr>
                  </m:sSubPr>
                  <m:e>
                    <m:r>
                      <m:rPr>
                        <m:sty m:val="bi"/>
                      </m:rPr>
                      <w:rPr>
                        <w:rFonts w:ascii="Cambria Math" w:eastAsia="宋体" w:hAnsi="Cambria Math" w:cs="Times New Roman"/>
                      </w:rPr>
                      <m:t>g</m:t>
                    </m:r>
                  </m:e>
                  <m:sub>
                    <m:r>
                      <w:rPr>
                        <w:rFonts w:ascii="Cambria Math" w:eastAsia="宋体" w:hAnsi="Cambria Math" w:cs="Times New Roman"/>
                      </w:rPr>
                      <m:t>t</m:t>
                    </m:r>
                  </m:sub>
                </m:sSub>
                <m:r>
                  <w:rPr>
                    <w:rFonts w:ascii="Cambria Math" w:eastAsia="宋体" w:hAnsi="Cambria Math" w:cs="Times New Roman"/>
                  </w:rPr>
                  <m:t>={</m:t>
                </m:r>
                <m:sSubSup>
                  <m:sSubSupPr>
                    <m:ctrlPr>
                      <w:rPr>
                        <w:rFonts w:ascii="Cambria Math" w:eastAsia="宋体" w:hAnsi="Cambria Math" w:cs="Times New Roman"/>
                      </w:rPr>
                    </m:ctrlPr>
                  </m:sSubSupPr>
                  <m:e>
                    <m:r>
                      <w:rPr>
                        <w:rFonts w:ascii="Cambria Math" w:eastAsia="宋体" w:hAnsi="Cambria Math" w:cs="Times New Roman"/>
                      </w:rPr>
                      <m:t>g</m:t>
                    </m:r>
                  </m:e>
                  <m:sub>
                    <m:r>
                      <w:rPr>
                        <w:rFonts w:ascii="Cambria Math" w:eastAsia="宋体" w:hAnsi="Cambria Math" w:cs="Times New Roman"/>
                      </w:rPr>
                      <m:t>t</m:t>
                    </m:r>
                  </m:sub>
                  <m:sup>
                    <m:r>
                      <w:rPr>
                        <w:rFonts w:ascii="Cambria Math" w:eastAsia="宋体" w:hAnsi="Cambria Math" w:cs="Times New Roman"/>
                      </w:rPr>
                      <m:t>(</m:t>
                    </m:r>
                    <m:sSup>
                      <m:sSupPr>
                        <m:ctrlPr>
                          <w:rPr>
                            <w:rFonts w:ascii="Cambria Math" w:eastAsia="宋体" w:hAnsi="Cambria Math" w:cs="Times New Roman"/>
                          </w:rPr>
                        </m:ctrlPr>
                      </m:sSupPr>
                      <m:e>
                        <m:r>
                          <w:rPr>
                            <w:rFonts w:ascii="Cambria Math" w:eastAsia="宋体" w:hAnsi="Cambria Math" w:cs="Times New Roman"/>
                          </w:rPr>
                          <m:t>x</m:t>
                        </m:r>
                      </m:e>
                      <m:sup>
                        <m:r>
                          <m:rPr>
                            <m:sty m:val="p"/>
                          </m:rPr>
                          <w:rPr>
                            <w:rFonts w:ascii="Cambria Math" w:eastAsia="宋体" w:hAnsi="Cambria Math" w:cs="Times New Roman"/>
                          </w:rPr>
                          <m:t>'</m:t>
                        </m:r>
                      </m:sup>
                    </m:sSup>
                    <m:r>
                      <w:rPr>
                        <w:rFonts w:ascii="Cambria Math" w:eastAsia="宋体" w:hAnsi="Cambria Math" w:cs="Times New Roman"/>
                      </w:rPr>
                      <m:t>)</m:t>
                    </m:r>
                  </m:sup>
                </m:sSubSup>
                <m:r>
                  <w:rPr>
                    <w:rFonts w:ascii="Cambria Math" w:eastAsia="宋体" w:hAnsi="Cambria Math" w:cs="Times New Roman"/>
                  </w:rPr>
                  <m:t>,</m:t>
                </m:r>
                <m:sSubSup>
                  <m:sSubSupPr>
                    <m:ctrlPr>
                      <w:rPr>
                        <w:rFonts w:ascii="Cambria Math" w:eastAsia="宋体" w:hAnsi="Cambria Math" w:cs="Times New Roman"/>
                      </w:rPr>
                    </m:ctrlPr>
                  </m:sSubSupPr>
                  <m:e>
                    <m:r>
                      <w:rPr>
                        <w:rFonts w:ascii="Cambria Math" w:eastAsia="宋体" w:hAnsi="Cambria Math" w:cs="Times New Roman"/>
                      </w:rPr>
                      <m:t>g</m:t>
                    </m:r>
                  </m:e>
                  <m:sub>
                    <m:r>
                      <w:rPr>
                        <w:rFonts w:ascii="Cambria Math" w:eastAsia="宋体" w:hAnsi="Cambria Math" w:cs="Times New Roman"/>
                      </w:rPr>
                      <m:t>t</m:t>
                    </m:r>
                  </m:sub>
                  <m:sup>
                    <m:r>
                      <w:rPr>
                        <w:rFonts w:ascii="Cambria Math" w:eastAsia="宋体" w:hAnsi="Cambria Math" w:cs="Times New Roman"/>
                      </w:rPr>
                      <m:t>(</m:t>
                    </m:r>
                    <m:sSup>
                      <m:sSupPr>
                        <m:ctrlPr>
                          <w:rPr>
                            <w:rFonts w:ascii="Cambria Math" w:eastAsia="宋体" w:hAnsi="Cambria Math" w:cs="Times New Roman"/>
                          </w:rPr>
                        </m:ctrlPr>
                      </m:sSupPr>
                      <m:e>
                        <m:r>
                          <w:rPr>
                            <w:rFonts w:ascii="Cambria Math" w:eastAsia="宋体" w:hAnsi="Cambria Math" w:cs="Times New Roman"/>
                          </w:rPr>
                          <m:t>y</m:t>
                        </m:r>
                      </m:e>
                      <m:sup>
                        <m:r>
                          <m:rPr>
                            <m:sty m:val="p"/>
                          </m:rPr>
                          <w:rPr>
                            <w:rFonts w:ascii="Cambria Math" w:eastAsia="宋体" w:hAnsi="Cambria Math" w:cs="Times New Roman"/>
                          </w:rPr>
                          <m:t>'</m:t>
                        </m:r>
                      </m:sup>
                    </m:sSup>
                    <m:r>
                      <w:rPr>
                        <w:rFonts w:ascii="Cambria Math" w:eastAsia="宋体" w:hAnsi="Cambria Math" w:cs="Times New Roman"/>
                      </w:rPr>
                      <m:t>)</m:t>
                    </m:r>
                  </m:sup>
                </m:sSubSup>
                <m:r>
                  <w:rPr>
                    <w:rFonts w:ascii="Cambria Math" w:eastAsia="宋体" w:hAnsi="Cambria Math" w:cs="Times New Roman"/>
                  </w:rPr>
                  <m:t>,</m:t>
                </m:r>
                <m:sSubSup>
                  <m:sSubSupPr>
                    <m:ctrlPr>
                      <w:rPr>
                        <w:rFonts w:ascii="Cambria Math" w:eastAsia="宋体" w:hAnsi="Cambria Math" w:cs="Times New Roman"/>
                      </w:rPr>
                    </m:ctrlPr>
                  </m:sSubSupPr>
                  <m:e>
                    <m:r>
                      <w:rPr>
                        <w:rFonts w:ascii="Cambria Math" w:eastAsia="宋体" w:hAnsi="Cambria Math" w:cs="Times New Roman"/>
                      </w:rPr>
                      <m:t>g</m:t>
                    </m:r>
                  </m:e>
                  <m:sub>
                    <m:r>
                      <w:rPr>
                        <w:rFonts w:ascii="Cambria Math" w:eastAsia="宋体" w:hAnsi="Cambria Math" w:cs="Times New Roman"/>
                      </w:rPr>
                      <m:t>t</m:t>
                    </m:r>
                  </m:sub>
                  <m:sup>
                    <m:r>
                      <w:rPr>
                        <w:rFonts w:ascii="Cambria Math" w:eastAsia="宋体" w:hAnsi="Cambria Math" w:cs="Times New Roman"/>
                      </w:rPr>
                      <m:t>(ψ)</m:t>
                    </m:r>
                  </m:sup>
                </m:sSubSup>
                <m:r>
                  <w:rPr>
                    <w:rFonts w:ascii="Cambria Math" w:eastAsia="宋体" w:hAnsi="Cambria Math" w:cs="Times New Roman"/>
                  </w:rPr>
                  <m:t>}</m:t>
                </m:r>
              </m:oMath>
            </m:oMathPara>
          </w:p>
        </w:tc>
        <w:tc>
          <w:tcPr>
            <w:tcW w:w="1559" w:type="dxa"/>
            <w:vAlign w:val="center"/>
          </w:tcPr>
          <w:p w:rsidR="00911283" w:rsidRDefault="00240CBF">
            <w:pPr>
              <w:jc w:val="right"/>
            </w:pPr>
            <w:r>
              <w:rPr>
                <w:rFonts w:hint="eastAsia"/>
              </w:rPr>
              <w:t>（</w:t>
            </w:r>
            <w:r>
              <w:rPr>
                <w:rFonts w:hint="eastAsia"/>
              </w:rPr>
              <w:t>19</w:t>
            </w:r>
            <w:r>
              <w:rPr>
                <w:rFonts w:hint="eastAsia"/>
              </w:rPr>
              <w:t>）</w:t>
            </w:r>
          </w:p>
        </w:tc>
      </w:tr>
    </w:tbl>
    <w:tbl>
      <w:tblPr>
        <w:tblStyle w:val="a8"/>
        <w:tblpPr w:leftFromText="180" w:rightFromText="180" w:vertAnchor="text" w:horzAnchor="page" w:tblpX="1782" w:tblpY="1241"/>
        <w:tblOverlap w:val="never"/>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670"/>
        <w:gridCol w:w="1559"/>
      </w:tblGrid>
      <w:tr w:rsidR="00911283">
        <w:trPr>
          <w:trHeight w:val="538"/>
        </w:trPr>
        <w:tc>
          <w:tcPr>
            <w:tcW w:w="1384" w:type="dxa"/>
            <w:vAlign w:val="center"/>
          </w:tcPr>
          <w:p w:rsidR="00911283" w:rsidRDefault="00911283">
            <w:pPr>
              <w:jc w:val="center"/>
            </w:pPr>
          </w:p>
        </w:tc>
        <w:tc>
          <w:tcPr>
            <w:tcW w:w="5670" w:type="dxa"/>
            <w:vAlign w:val="center"/>
          </w:tcPr>
          <w:p w:rsidR="00911283" w:rsidRDefault="00240CBF">
            <w:pPr>
              <w:jc w:val="center"/>
            </w:pPr>
            <m:oMathPara>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t</m:t>
                            </m:r>
                          </m:sub>
                          <m:sup>
                            <m: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m:t>
                            </m:r>
                          </m:sup>
                        </m:sSub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t</m:t>
                            </m:r>
                          </m:sub>
                          <m:sup>
                            <m: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r>
                              <w:rPr>
                                <w:rFonts w:ascii="Cambria Math" w:hAnsi="Cambria Math"/>
                              </w:rPr>
                              <m:t>)</m:t>
                            </m:r>
                          </m:sup>
                        </m:sSubSup>
                        <m:r>
                          <w:rPr>
                            <w:rFonts w:ascii="Cambria Math" w:hAnsi="Cambria Math"/>
                          </w:rPr>
                          <m:t>)</m:t>
                        </m:r>
                      </m:e>
                      <m:sup>
                        <m:r>
                          <w:rPr>
                            <w:rFonts w:ascii="Cambria Math" w:hAnsi="Cambria Math"/>
                          </w:rPr>
                          <m:t>2</m:t>
                        </m:r>
                      </m:sup>
                    </m:sSup>
                  </m:e>
                </m:rad>
              </m:oMath>
            </m:oMathPara>
          </w:p>
        </w:tc>
        <w:tc>
          <w:tcPr>
            <w:tcW w:w="1559" w:type="dxa"/>
            <w:vAlign w:val="center"/>
          </w:tcPr>
          <w:p w:rsidR="00911283" w:rsidRDefault="00240CBF">
            <w:pPr>
              <w:jc w:val="right"/>
            </w:pPr>
            <w:r>
              <w:rPr>
                <w:rFonts w:hint="eastAsia"/>
              </w:rPr>
              <w:t>（</w:t>
            </w:r>
            <w:r>
              <w:rPr>
                <w:rFonts w:hint="eastAsia"/>
              </w:rPr>
              <w:t>20</w:t>
            </w:r>
            <w:r>
              <w:rPr>
                <w:rFonts w:hint="eastAsia"/>
              </w:rPr>
              <w:t>）</w:t>
            </w:r>
          </w:p>
        </w:tc>
      </w:tr>
      <w:tr w:rsidR="00911283">
        <w:trPr>
          <w:trHeight w:val="538"/>
        </w:trPr>
        <w:tc>
          <w:tcPr>
            <w:tcW w:w="1384" w:type="dxa"/>
            <w:vAlign w:val="center"/>
          </w:tcPr>
          <w:p w:rsidR="00911283" w:rsidRDefault="00911283">
            <w:pPr>
              <w:jc w:val="center"/>
            </w:pPr>
          </w:p>
        </w:tc>
        <w:tc>
          <w:tcPr>
            <w:tcW w:w="5670" w:type="dxa"/>
            <w:vAlign w:val="center"/>
          </w:tcPr>
          <w:p w:rsidR="00911283" w:rsidRDefault="00240CBF">
            <w:pPr>
              <w:jc w:val="center"/>
              <w:rPr>
                <w:rFonts w:ascii="Calibri" w:eastAsia="宋体" w:hAnsi="Calibri" w:cs="Times New Roman"/>
              </w:rPr>
            </w:pPr>
            <m:oMathPara>
              <m:oMath>
                <m:sSubSup>
                  <m:sSubSupPr>
                    <m:ctrlPr>
                      <w:rPr>
                        <w:rFonts w:ascii="Cambria Math" w:eastAsia="宋体" w:hAnsi="Cambria Math" w:cs="Times New Roman"/>
                      </w:rPr>
                    </m:ctrlPr>
                  </m:sSubSupPr>
                  <m:e>
                    <m:r>
                      <w:rPr>
                        <w:rFonts w:ascii="Cambria Math" w:eastAsia="宋体" w:hAnsi="Cambria Math" w:cs="Times New Roman"/>
                      </w:rPr>
                      <m:t>r</m:t>
                    </m:r>
                  </m:e>
                  <m:sub>
                    <m:r>
                      <w:rPr>
                        <w:rFonts w:ascii="Cambria Math" w:eastAsia="宋体" w:hAnsi="Cambria Math" w:cs="Times New Roman"/>
                      </w:rPr>
                      <m:t>t</m:t>
                    </m:r>
                  </m:sub>
                  <m:sup>
                    <m:r>
                      <m:rPr>
                        <m:sty m:val="p"/>
                      </m:rPr>
                      <w:rPr>
                        <w:rFonts w:ascii="Cambria Math" w:eastAsia="宋体" w:hAnsi="Cambria Math" w:cs="Times New Roman"/>
                      </w:rPr>
                      <m:t>'</m:t>
                    </m:r>
                  </m:sup>
                </m:sSubSup>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r</m:t>
                    </m:r>
                  </m:e>
                  <m:sub>
                    <m:r>
                      <w:rPr>
                        <w:rFonts w:ascii="Cambria Math" w:eastAsia="宋体" w:hAnsi="Cambria Math" w:cs="Times New Roman"/>
                      </w:rPr>
                      <m:t>t</m:t>
                    </m:r>
                  </m:sub>
                </m:sSub>
                <m:r>
                  <w:rPr>
                    <w:rFonts w:ascii="Cambria Math" w:eastAsia="宋体" w:hAnsi="Cambria Math" w:cs="Times New Roman"/>
                  </w:rPr>
                  <m:t>-</m:t>
                </m:r>
                <m:r>
                  <m:rPr>
                    <m:sty m:val="p"/>
                  </m:rPr>
                  <w:rPr>
                    <w:rFonts w:ascii="Cambria Math" w:eastAsia="宋体" w:hAnsi="Cambria Math" w:cs="Times New Roman"/>
                  </w:rPr>
                  <m:t>mean</m:t>
                </m:r>
                <m:r>
                  <m:rPr>
                    <m:scr m:val="script"/>
                  </m:rPr>
                  <w:rPr>
                    <w:rFonts w:ascii="Cambria Math" w:eastAsia="宋体" w:hAnsi="Cambria Math" w:cs="Times New Roman"/>
                  </w:rPr>
                  <m:t>⁡(R))/</m:t>
                </m:r>
                <m:r>
                  <m:rPr>
                    <m:sty m:val="p"/>
                  </m:rPr>
                  <w:rPr>
                    <w:rFonts w:ascii="Cambria Math" w:eastAsia="宋体" w:hAnsi="Cambria Math" w:cs="Times New Roman"/>
                  </w:rPr>
                  <m:t>std</m:t>
                </m:r>
                <m:r>
                  <m:rPr>
                    <m:scr m:val="script"/>
                  </m:rPr>
                  <w:rPr>
                    <w:rFonts w:ascii="Cambria Math" w:eastAsia="宋体" w:hAnsi="Cambria Math" w:cs="Times New Roman"/>
                  </w:rPr>
                  <m:t>⁡(R)</m:t>
                </m:r>
              </m:oMath>
            </m:oMathPara>
          </w:p>
        </w:tc>
        <w:tc>
          <w:tcPr>
            <w:tcW w:w="1559" w:type="dxa"/>
            <w:vAlign w:val="center"/>
          </w:tcPr>
          <w:p w:rsidR="00911283" w:rsidRDefault="00240CBF">
            <w:pPr>
              <w:jc w:val="right"/>
            </w:pPr>
            <w:r>
              <w:rPr>
                <w:rFonts w:hint="eastAsia"/>
              </w:rPr>
              <w:t>（</w:t>
            </w:r>
            <w:r>
              <w:rPr>
                <w:rFonts w:hint="eastAsia"/>
              </w:rPr>
              <w:t>21</w:t>
            </w:r>
            <w:r>
              <w:rPr>
                <w:rFonts w:hint="eastAsia"/>
              </w:rPr>
              <w:t>）</w:t>
            </w:r>
          </w:p>
        </w:tc>
      </w:tr>
    </w:tbl>
    <w:p w:rsidR="00911283" w:rsidRDefault="00240CBF">
      <w:pPr>
        <w:ind w:firstLine="420"/>
      </w:pPr>
      <w:r>
        <w:rPr>
          <w:rFonts w:hint="eastAsia"/>
        </w:rPr>
        <w:t>动作和评分部分的架构如图</w:t>
      </w:r>
      <w:r>
        <w:rPr>
          <w:rFonts w:hint="eastAsia"/>
        </w:rPr>
        <w:t>5</w:t>
      </w:r>
      <w:r>
        <w:rPr>
          <w:rFonts w:hint="eastAsia"/>
        </w:rPr>
        <w:t>所示，</w:t>
      </w:r>
      <w:r>
        <w:rPr>
          <w:rFonts w:hint="eastAsia"/>
        </w:rPr>
        <w:t>HL</w:t>
      </w:r>
      <w:r>
        <w:rPr>
          <w:rFonts w:hint="eastAsia"/>
        </w:rPr>
        <w:t>代表隐含层，下方数字代表神经元个数，</w:t>
      </w:r>
      <w:r>
        <w:rPr>
          <w:rFonts w:hint="eastAsia"/>
        </w:rPr>
        <w:t>BN</w:t>
      </w:r>
      <w:r>
        <w:rPr>
          <w:rFonts w:hint="eastAsia"/>
        </w:rPr>
        <w:t>代表批量归一化。</w:t>
      </w:r>
      <w:r w:rsidRPr="00240CBF">
        <w:rPr>
          <w:rFonts w:hint="eastAsia"/>
        </w:rPr>
        <w:t>合理的奖励函数是</w:t>
      </w:r>
      <w:r w:rsidRPr="00240CBF">
        <w:rPr>
          <w:rFonts w:hint="eastAsia"/>
        </w:rPr>
        <w:t>agent</w:t>
      </w:r>
      <w:r w:rsidRPr="00240CBF">
        <w:rPr>
          <w:rFonts w:hint="eastAsia"/>
        </w:rPr>
        <w:t>学习有效策略的关键，决定了</w:t>
      </w:r>
      <w:r w:rsidRPr="00240CBF">
        <w:rPr>
          <w:rFonts w:hint="eastAsia"/>
        </w:rPr>
        <w:t>RL</w:t>
      </w:r>
      <w:r w:rsidRPr="00240CBF">
        <w:rPr>
          <w:rFonts w:hint="eastAsia"/>
        </w:rPr>
        <w:t>的收敛速度和稳定性。</w:t>
      </w:r>
      <w:bookmarkStart w:id="0" w:name="_GoBack"/>
      <w:bookmarkEnd w:id="0"/>
      <w:r>
        <w:rPr>
          <w:rFonts w:hint="eastAsia"/>
        </w:rPr>
        <w:t>训练动作和评分的奖励部分定义为式</w:t>
      </w:r>
      <w:r>
        <w:rPr>
          <w:rFonts w:hint="eastAsia"/>
        </w:rPr>
        <w:t>20</w:t>
      </w:r>
      <w:r>
        <w:rPr>
          <w:rFonts w:hint="eastAsia"/>
        </w:rPr>
        <w:t>。为了进一步稳定</w:t>
      </w:r>
      <w:r>
        <w:rPr>
          <w:rFonts w:hint="eastAsia"/>
        </w:rPr>
        <w:t>RL</w:t>
      </w:r>
      <w:r>
        <w:rPr>
          <w:rFonts w:hint="eastAsia"/>
        </w:rPr>
        <w:t>算法，将奖励分为</w:t>
      </w:r>
      <w:r>
        <w:rPr>
          <w:rFonts w:hint="eastAsia"/>
        </w:rPr>
        <w:t>[0,2]</w:t>
      </w:r>
      <w:r>
        <w:rPr>
          <w:rFonts w:hint="eastAsia"/>
        </w:rPr>
        <w:t>，并且用式</w:t>
      </w:r>
      <w:r>
        <w:rPr>
          <w:rFonts w:hint="eastAsia"/>
        </w:rPr>
        <w:t>21</w:t>
      </w:r>
      <w:r>
        <w:rPr>
          <w:rFonts w:hint="eastAsia"/>
        </w:rPr>
        <w:t>进行归一化。</w:t>
      </w:r>
      <m:oMath>
        <m:r>
          <m:rPr>
            <m:scr m:val="script"/>
          </m:rPr>
          <w:rPr>
            <w:rFonts w:ascii="Cambria Math" w:eastAsia="宋体" w:hAnsi="Cambria Math" w:cs="Times New Roman"/>
          </w:rPr>
          <m:t>R</m:t>
        </m:r>
      </m:oMath>
      <w:r>
        <w:rPr>
          <w:rFonts w:hint="eastAsia"/>
        </w:rPr>
        <w:t>表示当前存储的所有奖励。使用标准差为</w:t>
      </w:r>
      <w:r>
        <w:rPr>
          <w:rFonts w:hint="eastAsia"/>
        </w:rPr>
        <w:t>0.1</w:t>
      </w:r>
      <w:r>
        <w:rPr>
          <w:rFonts w:hint="eastAsia"/>
        </w:rPr>
        <w:t>的高斯噪声模拟动作的噪声。其它超参数则使用原型中的定义。</w:t>
      </w:r>
    </w:p>
    <w:p w:rsidR="00911283" w:rsidRDefault="00240CBF">
      <w:pPr>
        <w:pStyle w:val="2"/>
      </w:pPr>
      <w:r>
        <w:rPr>
          <w:rFonts w:hint="eastAsia"/>
        </w:rPr>
        <w:t>3.3</w:t>
      </w:r>
      <w:r>
        <w:rPr>
          <w:rFonts w:hint="eastAsia"/>
        </w:rPr>
        <w:t>具体化系统构建</w:t>
      </w:r>
    </w:p>
    <w:p w:rsidR="00911283" w:rsidRDefault="00240CBF">
      <w:pPr>
        <w:ind w:firstLine="420"/>
      </w:pPr>
      <w:r>
        <w:rPr>
          <w:rFonts w:hint="eastAsia"/>
        </w:rPr>
        <w:t>首先构建</w:t>
      </w:r>
      <w:r>
        <w:rPr>
          <w:rFonts w:hint="eastAsia"/>
        </w:rPr>
        <w:t>DQN</w:t>
      </w:r>
      <w:r>
        <w:rPr>
          <w:rFonts w:hint="eastAsia"/>
        </w:rPr>
        <w:t>（深度</w:t>
      </w:r>
      <w:r>
        <w:rPr>
          <w:rFonts w:hint="eastAsia"/>
        </w:rPr>
        <w:t>Q</w:t>
      </w:r>
      <w:r>
        <w:rPr>
          <w:rFonts w:hint="eastAsia"/>
        </w:rPr>
        <w:t>网络），他的作用是给定（输入）一种状态，它将输出对每一个可能的行动和在执行该行动后</w:t>
      </w:r>
      <w:r>
        <w:rPr>
          <w:rFonts w:hint="eastAsia"/>
        </w:rPr>
        <w:t>(</w:t>
      </w:r>
      <w:r>
        <w:rPr>
          <w:rFonts w:hint="eastAsia"/>
        </w:rPr>
        <w:t>但在看到结果之前</w:t>
      </w:r>
      <w:r>
        <w:rPr>
          <w:rFonts w:hint="eastAsia"/>
        </w:rPr>
        <w:t>)</w:t>
      </w:r>
      <w:r>
        <w:rPr>
          <w:rFonts w:hint="eastAsia"/>
        </w:rPr>
        <w:t>所期望的未来奖励的总和进行估算。要使用这个</w:t>
      </w:r>
      <w:r>
        <w:rPr>
          <w:rFonts w:hint="eastAsia"/>
        </w:rPr>
        <w:t>DQN</w:t>
      </w:r>
      <w:r>
        <w:rPr>
          <w:rFonts w:hint="eastAsia"/>
        </w:rPr>
        <w:t>选择一个动作，我们只需选择预测</w:t>
      </w:r>
      <w:r>
        <w:rPr>
          <w:rFonts w:hint="eastAsia"/>
        </w:rPr>
        <w:t>Q</w:t>
      </w:r>
      <w:r>
        <w:rPr>
          <w:rFonts w:hint="eastAsia"/>
        </w:rPr>
        <w:t>值最大的动作。然而，为了确保代理能够探索环境，选择一个概率为</w:t>
      </w:r>
      <w:r>
        <w:rPr>
          <w:rFonts w:hint="eastAsia"/>
        </w:rPr>
        <w:t>epsilon</w:t>
      </w:r>
      <w:r>
        <w:rPr>
          <w:rFonts w:hint="eastAsia"/>
        </w:rPr>
        <w:t>的随机行为，即产生一个随机数，如果它小于</w:t>
      </w:r>
      <w:r>
        <w:rPr>
          <w:rFonts w:hint="eastAsia"/>
        </w:rPr>
        <w:t>epsilon</w:t>
      </w:r>
      <w:r>
        <w:rPr>
          <w:rFonts w:hint="eastAsia"/>
        </w:rPr>
        <w:t>则返回输出范围内的随机值，否则返回</w:t>
      </w:r>
      <w:r>
        <w:rPr>
          <w:rFonts w:hint="eastAsia"/>
        </w:rPr>
        <w:t>Q</w:t>
      </w:r>
      <w:r>
        <w:rPr>
          <w:rFonts w:hint="eastAsia"/>
        </w:rPr>
        <w:t>网络的输出值。另外还需要一个记忆重播区，它存储了代理的经验并且以元组的形式存放，本文采用</w:t>
      </w:r>
      <w:proofErr w:type="spellStart"/>
      <w:r>
        <w:rPr>
          <w:rFonts w:hint="eastAsia"/>
        </w:rPr>
        <w:t>DeepMind</w:t>
      </w:r>
      <w:proofErr w:type="spellEnd"/>
      <w:r>
        <w:rPr>
          <w:rFonts w:hint="eastAsia"/>
        </w:rPr>
        <w:t>的开源</w:t>
      </w:r>
      <w:proofErr w:type="spellStart"/>
      <w:r>
        <w:rPr>
          <w:rFonts w:hint="eastAsia"/>
        </w:rPr>
        <w:t>deque</w:t>
      </w:r>
      <w:proofErr w:type="spellEnd"/>
      <w:r>
        <w:rPr>
          <w:rFonts w:hint="eastAsia"/>
        </w:rPr>
        <w:t>类</w:t>
      </w:r>
      <w:r>
        <w:rPr>
          <w:rFonts w:hint="eastAsia"/>
        </w:rPr>
        <w:t>(</w:t>
      </w:r>
      <w:r>
        <w:rPr>
          <w:rFonts w:hint="eastAsia"/>
        </w:rPr>
        <w:t>双链表）以实现鲁棒性较强的经验重播，创建采样函数来从记忆重播区中取样，它将返回几类数组包括观察值、动作、奖励、预估观察值和结束标志。</w:t>
      </w:r>
      <w:r>
        <w:rPr>
          <w:rFonts w:hint="eastAsia"/>
          <w:color w:val="FF0000"/>
        </w:rPr>
        <w:t>5</w:t>
      </w:r>
      <w:r>
        <w:rPr>
          <w:rFonts w:hint="eastAsia"/>
          <w:color w:val="FF0000"/>
        </w:rPr>
        <w:t>个</w:t>
      </w:r>
      <w:proofErr w:type="spellStart"/>
      <w:r>
        <w:rPr>
          <w:rFonts w:hint="eastAsia"/>
          <w:color w:val="FF0000"/>
        </w:rPr>
        <w:t>NumPy</w:t>
      </w:r>
      <w:proofErr w:type="spellEnd"/>
      <w:r>
        <w:rPr>
          <w:rFonts w:hint="eastAsia"/>
          <w:color w:val="FF0000"/>
        </w:rPr>
        <w:t>数组</w:t>
      </w:r>
      <w:r>
        <w:rPr>
          <w:rFonts w:hint="eastAsia"/>
          <w:color w:val="FF0000"/>
        </w:rPr>
        <w:t>:[</w:t>
      </w:r>
      <w:proofErr w:type="spellStart"/>
      <w:r>
        <w:rPr>
          <w:rFonts w:hint="eastAsia"/>
          <w:color w:val="FF0000"/>
        </w:rPr>
        <w:t>obs</w:t>
      </w:r>
      <w:proofErr w:type="spellEnd"/>
      <w:r>
        <w:rPr>
          <w:rFonts w:hint="eastAsia"/>
          <w:color w:val="FF0000"/>
        </w:rPr>
        <w:t xml:space="preserve">, actions, rewards, </w:t>
      </w:r>
      <w:proofErr w:type="spellStart"/>
      <w:r>
        <w:rPr>
          <w:rFonts w:hint="eastAsia"/>
          <w:color w:val="FF0000"/>
        </w:rPr>
        <w:t>next_obs</w:t>
      </w:r>
      <w:proofErr w:type="spellEnd"/>
      <w:r>
        <w:rPr>
          <w:rFonts w:hint="eastAsia"/>
          <w:color w:val="FF0000"/>
        </w:rPr>
        <w:t xml:space="preserve">, </w:t>
      </w:r>
      <w:proofErr w:type="spellStart"/>
      <w:r>
        <w:rPr>
          <w:rFonts w:hint="eastAsia"/>
          <w:color w:val="FF0000"/>
        </w:rPr>
        <w:t>doones</w:t>
      </w:r>
      <w:proofErr w:type="spellEnd"/>
      <w:r>
        <w:rPr>
          <w:rFonts w:hint="eastAsia"/>
          <w:color w:val="FF0000"/>
        </w:rPr>
        <w:t>]</w:t>
      </w:r>
      <w:r>
        <w:rPr>
          <w:rFonts w:hint="eastAsia"/>
        </w:rPr>
        <w:t>。</w:t>
      </w:r>
    </w:p>
    <w:p w:rsidR="00911283" w:rsidRDefault="00240CBF">
      <w:pPr>
        <w:ind w:firstLine="420"/>
      </w:pPr>
      <w:r>
        <w:t>奖励是指</w:t>
      </w:r>
      <w:r>
        <w:t>agent</w:t>
      </w:r>
      <w:r>
        <w:t>根据任务目标衡量其绩效的奖励信号。合理的奖励函数是</w:t>
      </w:r>
      <w:r>
        <w:t>agent</w:t>
      </w:r>
      <w:r>
        <w:t>学习有效策略的关键，决定了</w:t>
      </w:r>
      <w:r>
        <w:t>RL</w:t>
      </w:r>
      <w:r>
        <w:t>的收敛速度和稳定性。奖励功能可以分为三种类型</w:t>
      </w:r>
      <w:r>
        <w:t>:</w:t>
      </w:r>
      <w:r>
        <w:t>连续奖励功能、离散奖励功能和混合奖励功能。连续奖励功能随着观察和行动而不断变化。一般来说，连续的奖励信号可以提高训练过程中的收敛性，简化网络结构。离散的奖励函数随观察和行动而不连续地变化。这种类型的奖励信号会减缓收敛速度，需要更复杂的网络结构。</w:t>
      </w:r>
      <w:r>
        <w:rPr>
          <w:rFonts w:hint="eastAsia"/>
        </w:rPr>
        <w:t>常用的奖励结构为混合奖励，系统对糟糕的状态进行远离而通过连续平滑奖励接近目标状态加速收敛。</w:t>
      </w:r>
    </w:p>
    <w:tbl>
      <w:tblPr>
        <w:tblStyle w:val="a8"/>
        <w:tblpPr w:leftFromText="180" w:rightFromText="180" w:vertAnchor="text" w:horzAnchor="page" w:tblpX="1846" w:tblpY="263"/>
        <w:tblOverlap w:val="never"/>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670"/>
        <w:gridCol w:w="1559"/>
      </w:tblGrid>
      <w:tr w:rsidR="00911283">
        <w:trPr>
          <w:trHeight w:val="538"/>
        </w:trPr>
        <w:tc>
          <w:tcPr>
            <w:tcW w:w="1384" w:type="dxa"/>
            <w:vAlign w:val="center"/>
          </w:tcPr>
          <w:p w:rsidR="00911283" w:rsidRDefault="00911283">
            <w:pPr>
              <w:jc w:val="center"/>
              <w:rPr>
                <w:highlight w:val="yellow"/>
              </w:rPr>
            </w:pPr>
          </w:p>
        </w:tc>
        <w:tc>
          <w:tcPr>
            <w:tcW w:w="5670" w:type="dxa"/>
            <w:vAlign w:val="center"/>
          </w:tcPr>
          <w:p w:rsidR="00911283" w:rsidRDefault="00240CBF">
            <w:pPr>
              <w:jc w:val="center"/>
              <w:rPr>
                <w:highlight w:val="yellow"/>
              </w:rPr>
            </w:pPr>
            <w:r>
              <w:rPr>
                <w:noProof/>
                <w:highlight w:val="yellow"/>
              </w:rPr>
              <w:drawing>
                <wp:inline distT="0" distB="0" distL="114300" distR="114300">
                  <wp:extent cx="3190875" cy="1962150"/>
                  <wp:effectExtent l="0" t="0" r="9525"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5"/>
                          <a:stretch>
                            <a:fillRect/>
                          </a:stretch>
                        </pic:blipFill>
                        <pic:spPr>
                          <a:xfrm>
                            <a:off x="0" y="0"/>
                            <a:ext cx="3190875" cy="1962150"/>
                          </a:xfrm>
                          <a:prstGeom prst="rect">
                            <a:avLst/>
                          </a:prstGeom>
                          <a:noFill/>
                          <a:ln>
                            <a:noFill/>
                          </a:ln>
                        </pic:spPr>
                      </pic:pic>
                    </a:graphicData>
                  </a:graphic>
                </wp:inline>
              </w:drawing>
            </w:r>
          </w:p>
        </w:tc>
        <w:tc>
          <w:tcPr>
            <w:tcW w:w="1559" w:type="dxa"/>
            <w:vAlign w:val="center"/>
          </w:tcPr>
          <w:p w:rsidR="00911283" w:rsidRDefault="00911283">
            <w:pPr>
              <w:jc w:val="right"/>
              <w:rPr>
                <w:highlight w:val="yellow"/>
              </w:rPr>
            </w:pPr>
          </w:p>
        </w:tc>
      </w:tr>
    </w:tbl>
    <w:p w:rsidR="00911283" w:rsidRDefault="00240CBF">
      <w:pPr>
        <w:rPr>
          <w:color w:val="0000FF"/>
        </w:rPr>
      </w:pPr>
      <w:r>
        <w:rPr>
          <w:color w:val="0000FF"/>
        </w:rPr>
        <w:t>r1</w:t>
      </w:r>
      <w:r>
        <w:rPr>
          <w:color w:val="0000FF"/>
        </w:rPr>
        <w:t>是一个连续的奖励，可以稳定系统状态，减少</w:t>
      </w:r>
      <w:r>
        <w:rPr>
          <w:rFonts w:hint="eastAsia"/>
          <w:color w:val="0000FF"/>
        </w:rPr>
        <w:t>减温水</w:t>
      </w:r>
      <w:r>
        <w:rPr>
          <w:color w:val="0000FF"/>
        </w:rPr>
        <w:t>消耗。误差越小，</w:t>
      </w:r>
      <w:r>
        <w:rPr>
          <w:color w:val="0000FF"/>
        </w:rPr>
        <w:t>r1</w:t>
      </w:r>
      <w:r>
        <w:rPr>
          <w:color w:val="0000FF"/>
        </w:rPr>
        <w:t>的回报就越大。</w:t>
      </w:r>
      <w:r>
        <w:rPr>
          <w:color w:val="0000FF"/>
        </w:rPr>
        <w:t>r1</w:t>
      </w:r>
      <w:r>
        <w:rPr>
          <w:color w:val="0000FF"/>
        </w:rPr>
        <w:t>中的第二项表示</w:t>
      </w:r>
      <w:r>
        <w:rPr>
          <w:rFonts w:hint="eastAsia"/>
          <w:color w:val="0000FF"/>
        </w:rPr>
        <w:t>减温水</w:t>
      </w:r>
      <w:r>
        <w:rPr>
          <w:color w:val="0000FF"/>
        </w:rPr>
        <w:t>消耗。当</w:t>
      </w:r>
      <w:r>
        <w:rPr>
          <w:rFonts w:hint="eastAsia"/>
          <w:color w:val="0000FF"/>
        </w:rPr>
        <w:t>过热蒸汽</w:t>
      </w:r>
      <w:r>
        <w:rPr>
          <w:color w:val="0000FF"/>
        </w:rPr>
        <w:t>的</w:t>
      </w:r>
      <w:r>
        <w:rPr>
          <w:rFonts w:hint="eastAsia"/>
          <w:color w:val="0000FF"/>
        </w:rPr>
        <w:t>温度</w:t>
      </w:r>
      <w:r>
        <w:rPr>
          <w:color w:val="0000FF"/>
        </w:rPr>
        <w:t>非常接近</w:t>
      </w:r>
      <w:r>
        <w:rPr>
          <w:rFonts w:hint="eastAsia"/>
          <w:color w:val="0000FF"/>
        </w:rPr>
        <w:t>设定值</w:t>
      </w:r>
      <w:r>
        <w:rPr>
          <w:color w:val="0000FF"/>
        </w:rPr>
        <w:t>时，误差变化很小，</w:t>
      </w:r>
      <w:r>
        <w:rPr>
          <w:color w:val="0000FF"/>
        </w:rPr>
        <w:t>r1</w:t>
      </w:r>
      <w:r>
        <w:rPr>
          <w:color w:val="0000FF"/>
        </w:rPr>
        <w:t>的变化很小。因此，在各误差分量绝对值小于</w:t>
      </w:r>
      <w:r>
        <w:rPr>
          <w:color w:val="0000FF"/>
        </w:rPr>
        <w:t>0.1</w:t>
      </w:r>
      <w:r>
        <w:rPr>
          <w:color w:val="0000FF"/>
        </w:rPr>
        <w:t>的情况下，引入连续奖赏</w:t>
      </w:r>
      <w:r>
        <w:rPr>
          <w:color w:val="0000FF"/>
        </w:rPr>
        <w:t>r2</w:t>
      </w:r>
      <w:r>
        <w:rPr>
          <w:color w:val="0000FF"/>
        </w:rPr>
        <w:t>来增加奖赏</w:t>
      </w:r>
      <w:r>
        <w:rPr>
          <w:color w:val="0000FF"/>
        </w:rPr>
        <w:lastRenderedPageBreak/>
        <w:t>梯度，从而快速、准确地接近目标值。</w:t>
      </w:r>
      <w:r>
        <w:rPr>
          <w:color w:val="0000FF"/>
        </w:rPr>
        <w:t>r3</w:t>
      </w:r>
      <w:r>
        <w:rPr>
          <w:color w:val="0000FF"/>
        </w:rPr>
        <w:t>是一个离散奖励，可以控制</w:t>
      </w:r>
      <w:r>
        <w:rPr>
          <w:rFonts w:hint="eastAsia"/>
          <w:color w:val="0000FF"/>
        </w:rPr>
        <w:t>SST</w:t>
      </w:r>
      <w:r>
        <w:rPr>
          <w:rFonts w:hint="eastAsia"/>
          <w:color w:val="0000FF"/>
        </w:rPr>
        <w:t>温度</w:t>
      </w:r>
      <w:r>
        <w:rPr>
          <w:color w:val="0000FF"/>
        </w:rPr>
        <w:t>不超出范围，提高训练速度。</w:t>
      </w:r>
    </w:p>
    <w:p w:rsidR="00911283" w:rsidRDefault="00240CBF">
      <w:pPr>
        <w:ind w:firstLine="420"/>
      </w:pPr>
      <w:r>
        <w:t>代理接收来自环境的观察和奖励，并向环境发送操作</w:t>
      </w:r>
      <w:r>
        <w:rPr>
          <w:rFonts w:hint="eastAsia"/>
        </w:rPr>
        <w:t>。本文采用经验重播（创建一个体验回放缓冲区来存储历史体验，然后随机抽样更新动作和评价网络）作为代理的学习方法。经验重放缓冲区的存在帮助代理能够学习以前的经验，提高样本利用效率。随机抽样可以打破样本之间的相关性，使</w:t>
      </w:r>
      <w:r>
        <w:rPr>
          <w:rFonts w:hint="eastAsia"/>
        </w:rPr>
        <w:t>agent</w:t>
      </w:r>
      <w:r>
        <w:rPr>
          <w:rFonts w:hint="eastAsia"/>
        </w:rPr>
        <w:t>的学习过程更加稳定。</w:t>
      </w:r>
    </w:p>
    <w:p w:rsidR="00911283" w:rsidRDefault="00911283">
      <w:pPr>
        <w:ind w:firstLine="420"/>
      </w:pPr>
    </w:p>
    <w:p w:rsidR="00911283" w:rsidRDefault="00911283"/>
    <w:p w:rsidR="00911283" w:rsidRDefault="00240CBF">
      <w:pPr>
        <w:pStyle w:val="1"/>
      </w:pPr>
      <w:r>
        <w:rPr>
          <w:rFonts w:hint="eastAsia"/>
        </w:rPr>
        <w:t>4.</w:t>
      </w:r>
      <w:r>
        <w:rPr>
          <w:rFonts w:hint="eastAsia"/>
        </w:rPr>
        <w:t>仿真结果</w:t>
      </w:r>
    </w:p>
    <w:p w:rsidR="00911283" w:rsidRDefault="00240CBF">
      <w:pPr>
        <w:widowControl/>
        <w:spacing w:line="420" w:lineRule="atLeast"/>
        <w:ind w:firstLine="360"/>
        <w:rPr>
          <w:rFonts w:ascii="Arial" w:eastAsia="宋体" w:hAnsi="Arial" w:cs="Arial"/>
          <w:spacing w:val="15"/>
          <w:kern w:val="0"/>
          <w:sz w:val="23"/>
          <w:szCs w:val="23"/>
        </w:rPr>
      </w:pPr>
      <w:r>
        <w:rPr>
          <w:rFonts w:ascii="Arial" w:eastAsia="宋体" w:hAnsi="Arial" w:cs="Arial"/>
          <w:spacing w:val="15"/>
          <w:kern w:val="0"/>
          <w:sz w:val="23"/>
          <w:szCs w:val="23"/>
        </w:rPr>
        <w:t>在仿真中，利用</w:t>
      </w:r>
      <w:r>
        <w:rPr>
          <w:rFonts w:ascii="Arial" w:eastAsia="宋体" w:hAnsi="Arial" w:cs="Arial" w:hint="eastAsia"/>
          <w:spacing w:val="15"/>
          <w:kern w:val="0"/>
          <w:sz w:val="23"/>
          <w:szCs w:val="23"/>
        </w:rPr>
        <w:t>python</w:t>
      </w:r>
      <w:r>
        <w:rPr>
          <w:rFonts w:ascii="Arial" w:eastAsia="宋体" w:hAnsi="Arial" w:cs="Arial" w:hint="eastAsia"/>
          <w:spacing w:val="15"/>
          <w:kern w:val="0"/>
          <w:sz w:val="23"/>
          <w:szCs w:val="23"/>
        </w:rPr>
        <w:t>求解</w:t>
      </w:r>
      <w:r>
        <w:rPr>
          <w:rFonts w:ascii="Arial" w:eastAsia="宋体" w:hAnsi="Arial" w:cs="Arial" w:hint="eastAsia"/>
          <w:spacing w:val="15"/>
          <w:kern w:val="0"/>
          <w:sz w:val="23"/>
          <w:szCs w:val="23"/>
        </w:rPr>
        <w:t>SST</w:t>
      </w:r>
      <w:r>
        <w:rPr>
          <w:rFonts w:ascii="Arial" w:eastAsia="宋体" w:hAnsi="Arial" w:cs="Arial"/>
          <w:spacing w:val="15"/>
          <w:kern w:val="0"/>
          <w:sz w:val="23"/>
          <w:szCs w:val="23"/>
        </w:rPr>
        <w:t>方程。对于</w:t>
      </w:r>
      <w:r>
        <w:rPr>
          <w:rFonts w:ascii="Arial" w:eastAsia="宋体" w:hAnsi="Arial" w:cs="Arial" w:hint="eastAsia"/>
          <w:spacing w:val="15"/>
          <w:kern w:val="0"/>
          <w:sz w:val="23"/>
          <w:szCs w:val="23"/>
        </w:rPr>
        <w:t>温度</w:t>
      </w:r>
      <w:r>
        <w:rPr>
          <w:rFonts w:ascii="Arial" w:eastAsia="宋体" w:hAnsi="Arial" w:cs="Arial"/>
          <w:spacing w:val="15"/>
          <w:kern w:val="0"/>
          <w:sz w:val="23"/>
          <w:szCs w:val="23"/>
        </w:rPr>
        <w:t>保持，其参考位置</w:t>
      </w:r>
      <w:r>
        <w:rPr>
          <w:rFonts w:ascii="Arial" w:eastAsia="宋体" w:hAnsi="Arial" w:cs="Arial"/>
          <w:spacing w:val="15"/>
          <w:kern w:val="0"/>
          <w:sz w:val="23"/>
          <w:szCs w:val="23"/>
        </w:rPr>
        <w:t>(</w:t>
      </w:r>
      <w:r>
        <w:rPr>
          <w:rFonts w:ascii="Arial" w:eastAsia="宋体" w:hAnsi="Arial" w:cs="Arial" w:hint="eastAsia"/>
          <w:spacing w:val="15"/>
          <w:kern w:val="0"/>
          <w:sz w:val="23"/>
          <w:szCs w:val="23"/>
        </w:rPr>
        <w:t>内环</w:t>
      </w:r>
      <w:r>
        <w:rPr>
          <w:rFonts w:ascii="Arial" w:eastAsia="宋体" w:hAnsi="Arial" w:cs="Arial"/>
          <w:spacing w:val="15"/>
          <w:kern w:val="0"/>
          <w:sz w:val="23"/>
          <w:szCs w:val="23"/>
        </w:rPr>
        <w:t>xʹ</w:t>
      </w:r>
      <w:r>
        <w:rPr>
          <w:rFonts w:ascii="Arial" w:eastAsia="宋体" w:hAnsi="Arial" w:cs="Arial"/>
          <w:spacing w:val="15"/>
          <w:kern w:val="0"/>
          <w:sz w:val="23"/>
          <w:szCs w:val="23"/>
        </w:rPr>
        <w:t>，</w:t>
      </w:r>
      <w:r>
        <w:rPr>
          <w:rFonts w:ascii="Arial" w:eastAsia="宋体" w:hAnsi="Arial" w:cs="Arial" w:hint="eastAsia"/>
          <w:spacing w:val="15"/>
          <w:kern w:val="0"/>
          <w:sz w:val="23"/>
          <w:szCs w:val="23"/>
        </w:rPr>
        <w:t>外环</w:t>
      </w:r>
      <w:r>
        <w:rPr>
          <w:rFonts w:ascii="Arial" w:eastAsia="宋体" w:hAnsi="Arial" w:cs="Arial"/>
          <w:spacing w:val="15"/>
          <w:kern w:val="0"/>
          <w:sz w:val="23"/>
          <w:szCs w:val="23"/>
        </w:rPr>
        <w:t>yʹ)</w:t>
      </w:r>
      <w:r>
        <w:rPr>
          <w:rFonts w:ascii="Arial" w:eastAsia="宋体" w:hAnsi="Arial" w:cs="Arial"/>
          <w:spacing w:val="15"/>
          <w:kern w:val="0"/>
          <w:sz w:val="23"/>
          <w:szCs w:val="23"/>
        </w:rPr>
        <w:t>设为</w:t>
      </w:r>
      <w:r>
        <w:rPr>
          <w:rFonts w:ascii="Arial" w:eastAsia="宋体" w:hAnsi="Arial" w:cs="Arial"/>
          <w:spacing w:val="15"/>
          <w:kern w:val="0"/>
          <w:sz w:val="23"/>
          <w:szCs w:val="23"/>
        </w:rPr>
        <w:t>(0,0)</w:t>
      </w:r>
      <w:r>
        <w:rPr>
          <w:rFonts w:ascii="Arial" w:eastAsia="宋体" w:hAnsi="Arial" w:cs="Arial"/>
          <w:spacing w:val="15"/>
          <w:kern w:val="0"/>
          <w:sz w:val="23"/>
          <w:szCs w:val="23"/>
        </w:rPr>
        <w:t>。</w:t>
      </w:r>
    </w:p>
    <w:p w:rsidR="00911283" w:rsidRDefault="00240CBF">
      <w:pPr>
        <w:pStyle w:val="3"/>
      </w:pPr>
      <w:r>
        <w:rPr>
          <w:rFonts w:hint="eastAsia"/>
        </w:rPr>
        <w:t xml:space="preserve">3.3.1 </w:t>
      </w:r>
      <w:r>
        <w:rPr>
          <w:rFonts w:hint="eastAsia"/>
        </w:rPr>
        <w:t>自适应微调系统的有效性</w:t>
      </w:r>
    </w:p>
    <w:p w:rsidR="00911283" w:rsidRDefault="00240CBF">
      <w:pPr>
        <w:ind w:firstLine="420"/>
      </w:pPr>
      <w:r>
        <w:rPr>
          <w:rFonts w:hint="eastAsia"/>
        </w:rPr>
        <w:t>首先，使用自适应</w:t>
      </w:r>
      <w:r>
        <w:rPr>
          <w:rFonts w:hint="eastAsia"/>
        </w:rPr>
        <w:t>P, D</w:t>
      </w:r>
      <w:r>
        <w:rPr>
          <w:rFonts w:hint="eastAsia"/>
        </w:rPr>
        <w:t>增益的过热蒸汽温度和增益在时间维度变化如图</w:t>
      </w:r>
      <w:r>
        <w:rPr>
          <w:rFonts w:hint="eastAsia"/>
        </w:rPr>
        <w:t>12</w:t>
      </w:r>
      <w:r>
        <w:rPr>
          <w:rFonts w:hint="eastAsia"/>
        </w:rPr>
        <w:t>中，并用一个具有基本增益</w:t>
      </w:r>
      <w:r>
        <w:rPr>
          <w:rFonts w:hint="eastAsia"/>
        </w:rPr>
        <w:t>(</w:t>
      </w:r>
      <w:r>
        <w:rPr>
          <w:rFonts w:hint="eastAsia"/>
        </w:rPr>
        <w:t>固定</w:t>
      </w:r>
      <w:r>
        <w:rPr>
          <w:rFonts w:hint="eastAsia"/>
        </w:rPr>
        <w:t>)</w:t>
      </w:r>
      <w:r>
        <w:rPr>
          <w:rFonts w:hint="eastAsia"/>
        </w:rPr>
        <w:t>的</w:t>
      </w:r>
      <w:r>
        <w:rPr>
          <w:rFonts w:hint="eastAsia"/>
        </w:rPr>
        <w:t>PID</w:t>
      </w:r>
      <w:r>
        <w:rPr>
          <w:rFonts w:hint="eastAsia"/>
        </w:rPr>
        <w:t>控制器与自适应微调系统的</w:t>
      </w:r>
      <w:r>
        <w:rPr>
          <w:rFonts w:hint="eastAsia"/>
        </w:rPr>
        <w:t>PID</w:t>
      </w:r>
      <w:r>
        <w:rPr>
          <w:rFonts w:hint="eastAsia"/>
        </w:rPr>
        <w:t>控制器进行了比较。在图</w:t>
      </w:r>
      <w:r>
        <w:rPr>
          <w:rFonts w:hint="eastAsia"/>
        </w:rPr>
        <w:t>12</w:t>
      </w:r>
      <w:r>
        <w:rPr>
          <w:rFonts w:hint="eastAsia"/>
        </w:rPr>
        <w:t>中又分别分为只对</w:t>
      </w:r>
      <w:r>
        <w:rPr>
          <w:rFonts w:hint="eastAsia"/>
        </w:rPr>
        <w:t>I</w:t>
      </w:r>
      <w:r>
        <w:rPr>
          <w:rFonts w:hint="eastAsia"/>
        </w:rPr>
        <w:t>微调和全部可调。</w:t>
      </w:r>
    </w:p>
    <w:p w:rsidR="00911283" w:rsidRDefault="00911283"/>
    <w:p w:rsidR="00911283" w:rsidRDefault="00911283"/>
    <w:p w:rsidR="00911283" w:rsidRDefault="00911283">
      <w:pPr>
        <w:ind w:firstLine="420"/>
      </w:pPr>
    </w:p>
    <w:p w:rsidR="00911283" w:rsidRDefault="00911283">
      <w:pPr>
        <w:ind w:firstLine="420"/>
      </w:pPr>
    </w:p>
    <w:p w:rsidR="00911283" w:rsidRDefault="00911283"/>
    <w:sectPr w:rsidR="009112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47EA"/>
    <w:multiLevelType w:val="multilevel"/>
    <w:tmpl w:val="126447E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2DFE2626"/>
    <w:multiLevelType w:val="multilevel"/>
    <w:tmpl w:val="2DFE2626"/>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nsid w:val="5D491050"/>
    <w:multiLevelType w:val="multilevel"/>
    <w:tmpl w:val="5D491050"/>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6B0149B5"/>
    <w:multiLevelType w:val="multilevel"/>
    <w:tmpl w:val="6B0149B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77A7207B"/>
    <w:multiLevelType w:val="multilevel"/>
    <w:tmpl w:val="77A7207B"/>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47E"/>
    <w:rsid w:val="00043412"/>
    <w:rsid w:val="000521F2"/>
    <w:rsid w:val="00075CAD"/>
    <w:rsid w:val="0008709D"/>
    <w:rsid w:val="000940DF"/>
    <w:rsid w:val="000A19A2"/>
    <w:rsid w:val="000F1798"/>
    <w:rsid w:val="00105C98"/>
    <w:rsid w:val="00153941"/>
    <w:rsid w:val="001673BD"/>
    <w:rsid w:val="00181CF1"/>
    <w:rsid w:val="00193730"/>
    <w:rsid w:val="001B0A86"/>
    <w:rsid w:val="001B1C09"/>
    <w:rsid w:val="001C0C4B"/>
    <w:rsid w:val="002012AC"/>
    <w:rsid w:val="00240CBF"/>
    <w:rsid w:val="00260C0A"/>
    <w:rsid w:val="00277D56"/>
    <w:rsid w:val="00282341"/>
    <w:rsid w:val="00295270"/>
    <w:rsid w:val="00295896"/>
    <w:rsid w:val="002E4142"/>
    <w:rsid w:val="002F5719"/>
    <w:rsid w:val="003008F9"/>
    <w:rsid w:val="00301657"/>
    <w:rsid w:val="0031101D"/>
    <w:rsid w:val="00320BEF"/>
    <w:rsid w:val="003664EA"/>
    <w:rsid w:val="00372CC6"/>
    <w:rsid w:val="003A07A2"/>
    <w:rsid w:val="003A23FF"/>
    <w:rsid w:val="003F58BE"/>
    <w:rsid w:val="003F6C0A"/>
    <w:rsid w:val="00417052"/>
    <w:rsid w:val="004306D4"/>
    <w:rsid w:val="00462C00"/>
    <w:rsid w:val="004814EC"/>
    <w:rsid w:val="004834E6"/>
    <w:rsid w:val="00483DBE"/>
    <w:rsid w:val="004B539A"/>
    <w:rsid w:val="004C42A9"/>
    <w:rsid w:val="004E673C"/>
    <w:rsid w:val="004F2CBB"/>
    <w:rsid w:val="004F4E71"/>
    <w:rsid w:val="005036A8"/>
    <w:rsid w:val="00523B03"/>
    <w:rsid w:val="00563131"/>
    <w:rsid w:val="005708AC"/>
    <w:rsid w:val="00587668"/>
    <w:rsid w:val="005947EC"/>
    <w:rsid w:val="005C429F"/>
    <w:rsid w:val="005D3473"/>
    <w:rsid w:val="005F2141"/>
    <w:rsid w:val="005F7679"/>
    <w:rsid w:val="00603CE5"/>
    <w:rsid w:val="006329DA"/>
    <w:rsid w:val="0066300A"/>
    <w:rsid w:val="00663454"/>
    <w:rsid w:val="006E390C"/>
    <w:rsid w:val="007147FF"/>
    <w:rsid w:val="00717D6E"/>
    <w:rsid w:val="0072165F"/>
    <w:rsid w:val="00722238"/>
    <w:rsid w:val="007435F9"/>
    <w:rsid w:val="00752D5E"/>
    <w:rsid w:val="00793B98"/>
    <w:rsid w:val="00795794"/>
    <w:rsid w:val="007B7CA5"/>
    <w:rsid w:val="007D63B2"/>
    <w:rsid w:val="007E67CD"/>
    <w:rsid w:val="007F3751"/>
    <w:rsid w:val="007F44E9"/>
    <w:rsid w:val="00835A17"/>
    <w:rsid w:val="00836DBC"/>
    <w:rsid w:val="008373D8"/>
    <w:rsid w:val="00861125"/>
    <w:rsid w:val="00862EF7"/>
    <w:rsid w:val="00891EC1"/>
    <w:rsid w:val="0089625A"/>
    <w:rsid w:val="008D3476"/>
    <w:rsid w:val="008E7768"/>
    <w:rsid w:val="008F2082"/>
    <w:rsid w:val="008F62A8"/>
    <w:rsid w:val="009033B1"/>
    <w:rsid w:val="00911283"/>
    <w:rsid w:val="009253FF"/>
    <w:rsid w:val="00952426"/>
    <w:rsid w:val="009566B9"/>
    <w:rsid w:val="00976B6C"/>
    <w:rsid w:val="009908CA"/>
    <w:rsid w:val="0099606C"/>
    <w:rsid w:val="009B26C0"/>
    <w:rsid w:val="009B2904"/>
    <w:rsid w:val="009C7B30"/>
    <w:rsid w:val="009E02B7"/>
    <w:rsid w:val="009E743D"/>
    <w:rsid w:val="009E7AAC"/>
    <w:rsid w:val="009F097E"/>
    <w:rsid w:val="009F278B"/>
    <w:rsid w:val="00A13A6E"/>
    <w:rsid w:val="00A43B6D"/>
    <w:rsid w:val="00A43C72"/>
    <w:rsid w:val="00A45789"/>
    <w:rsid w:val="00A66CFA"/>
    <w:rsid w:val="00A72D14"/>
    <w:rsid w:val="00A8627A"/>
    <w:rsid w:val="00A910BF"/>
    <w:rsid w:val="00A91827"/>
    <w:rsid w:val="00AA1948"/>
    <w:rsid w:val="00AD747E"/>
    <w:rsid w:val="00AF0651"/>
    <w:rsid w:val="00B24322"/>
    <w:rsid w:val="00B27918"/>
    <w:rsid w:val="00B55403"/>
    <w:rsid w:val="00B63458"/>
    <w:rsid w:val="00B67C5A"/>
    <w:rsid w:val="00BA3D6E"/>
    <w:rsid w:val="00BD7E32"/>
    <w:rsid w:val="00BF0E00"/>
    <w:rsid w:val="00C0206F"/>
    <w:rsid w:val="00C05654"/>
    <w:rsid w:val="00C11AB6"/>
    <w:rsid w:val="00C47E13"/>
    <w:rsid w:val="00C66A22"/>
    <w:rsid w:val="00C73C4B"/>
    <w:rsid w:val="00C87703"/>
    <w:rsid w:val="00CA3251"/>
    <w:rsid w:val="00CA5759"/>
    <w:rsid w:val="00D050F0"/>
    <w:rsid w:val="00D4477C"/>
    <w:rsid w:val="00D60B32"/>
    <w:rsid w:val="00D76D5C"/>
    <w:rsid w:val="00D95F3B"/>
    <w:rsid w:val="00DA4100"/>
    <w:rsid w:val="00DB0D9E"/>
    <w:rsid w:val="00DB674C"/>
    <w:rsid w:val="00DF513E"/>
    <w:rsid w:val="00E06742"/>
    <w:rsid w:val="00E74211"/>
    <w:rsid w:val="00EA3CA5"/>
    <w:rsid w:val="00EB10B2"/>
    <w:rsid w:val="00EB1616"/>
    <w:rsid w:val="00EB3309"/>
    <w:rsid w:val="00ED15D2"/>
    <w:rsid w:val="00ED3FE4"/>
    <w:rsid w:val="00F017BC"/>
    <w:rsid w:val="00F152EA"/>
    <w:rsid w:val="00F162D2"/>
    <w:rsid w:val="00F31D63"/>
    <w:rsid w:val="00F90EED"/>
    <w:rsid w:val="00F92849"/>
    <w:rsid w:val="00FC0DDA"/>
    <w:rsid w:val="00FE5CF1"/>
    <w:rsid w:val="00FF348F"/>
    <w:rsid w:val="073549AE"/>
    <w:rsid w:val="095A1760"/>
    <w:rsid w:val="0A373D38"/>
    <w:rsid w:val="0E4E49B5"/>
    <w:rsid w:val="10841E80"/>
    <w:rsid w:val="17C47458"/>
    <w:rsid w:val="1A6E0306"/>
    <w:rsid w:val="257230C4"/>
    <w:rsid w:val="29D75138"/>
    <w:rsid w:val="2AE9335E"/>
    <w:rsid w:val="2FC9349A"/>
    <w:rsid w:val="3262164D"/>
    <w:rsid w:val="38636358"/>
    <w:rsid w:val="3B791546"/>
    <w:rsid w:val="40B622FC"/>
    <w:rsid w:val="43830613"/>
    <w:rsid w:val="49623E83"/>
    <w:rsid w:val="590F4713"/>
    <w:rsid w:val="5E453694"/>
    <w:rsid w:val="5F3028F9"/>
    <w:rsid w:val="6AD57748"/>
    <w:rsid w:val="745608CF"/>
    <w:rsid w:val="74E60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36"/>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7">
    <w:name w:val="Title"/>
    <w:basedOn w:val="a"/>
    <w:next w:val="a"/>
    <w:link w:val="Char2"/>
    <w:uiPriority w:val="10"/>
    <w:qFormat/>
    <w:pPr>
      <w:spacing w:before="240" w:after="60"/>
      <w:jc w:val="center"/>
      <w:outlineLvl w:val="0"/>
    </w:pPr>
    <w:rPr>
      <w:rFonts w:asciiTheme="majorHAnsi" w:eastAsia="宋体" w:hAnsiTheme="majorHAnsi" w:cstheme="majorBidi"/>
      <w:b/>
      <w:bCs/>
      <w:sz w:val="32"/>
      <w:szCs w:val="32"/>
    </w:rPr>
  </w:style>
  <w:style w:type="table" w:styleId="a8">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Strong"/>
    <w:basedOn w:val="a0"/>
    <w:uiPriority w:val="22"/>
    <w:qFormat/>
    <w:rPr>
      <w:b/>
      <w:bCs/>
    </w:rPr>
  </w:style>
  <w:style w:type="character" w:customStyle="1" w:styleId="Char2">
    <w:name w:val="标题 Char"/>
    <w:basedOn w:val="a0"/>
    <w:link w:val="a7"/>
    <w:uiPriority w:val="10"/>
    <w:rPr>
      <w:rFonts w:asciiTheme="majorHAnsi" w:eastAsia="宋体" w:hAnsiTheme="majorHAnsi" w:cstheme="majorBidi"/>
      <w:b/>
      <w:bCs/>
      <w:sz w:val="32"/>
      <w:szCs w:val="32"/>
    </w:rPr>
  </w:style>
  <w:style w:type="character" w:customStyle="1" w:styleId="1Char">
    <w:name w:val="标题 1 Char"/>
    <w:basedOn w:val="a0"/>
    <w:link w:val="1"/>
    <w:uiPriority w:val="9"/>
    <w:rPr>
      <w:b/>
      <w:bCs/>
      <w:kern w:val="44"/>
      <w:sz w:val="36"/>
      <w:szCs w:val="44"/>
    </w:rPr>
  </w:style>
  <w:style w:type="paragraph" w:styleId="aa">
    <w:name w:val="List Paragraph"/>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
    <w:name w:val="批注框文本 Char"/>
    <w:basedOn w:val="a0"/>
    <w:link w:val="a3"/>
    <w:uiPriority w:val="99"/>
    <w:semiHidden/>
    <w:qFormat/>
    <w:rPr>
      <w:sz w:val="18"/>
      <w:szCs w:val="18"/>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10">
    <w:name w:val="书籍标题1"/>
    <w:basedOn w:val="a0"/>
    <w:uiPriority w:val="33"/>
    <w:qFormat/>
    <w:rPr>
      <w:b/>
      <w:bCs/>
      <w:smallCaps/>
      <w:spacing w:val="5"/>
    </w:rPr>
  </w:style>
  <w:style w:type="character" w:customStyle="1" w:styleId="3Char">
    <w:name w:val="标题 3 Char"/>
    <w:basedOn w:val="a0"/>
    <w:link w:val="3"/>
    <w:uiPriority w:val="9"/>
    <w:rPr>
      <w:b/>
      <w:bCs/>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36"/>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7">
    <w:name w:val="Title"/>
    <w:basedOn w:val="a"/>
    <w:next w:val="a"/>
    <w:link w:val="Char2"/>
    <w:uiPriority w:val="10"/>
    <w:qFormat/>
    <w:pPr>
      <w:spacing w:before="240" w:after="60"/>
      <w:jc w:val="center"/>
      <w:outlineLvl w:val="0"/>
    </w:pPr>
    <w:rPr>
      <w:rFonts w:asciiTheme="majorHAnsi" w:eastAsia="宋体" w:hAnsiTheme="majorHAnsi" w:cstheme="majorBidi"/>
      <w:b/>
      <w:bCs/>
      <w:sz w:val="32"/>
      <w:szCs w:val="32"/>
    </w:rPr>
  </w:style>
  <w:style w:type="table" w:styleId="a8">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Strong"/>
    <w:basedOn w:val="a0"/>
    <w:uiPriority w:val="22"/>
    <w:qFormat/>
    <w:rPr>
      <w:b/>
      <w:bCs/>
    </w:rPr>
  </w:style>
  <w:style w:type="character" w:customStyle="1" w:styleId="Char2">
    <w:name w:val="标题 Char"/>
    <w:basedOn w:val="a0"/>
    <w:link w:val="a7"/>
    <w:uiPriority w:val="10"/>
    <w:rPr>
      <w:rFonts w:asciiTheme="majorHAnsi" w:eastAsia="宋体" w:hAnsiTheme="majorHAnsi" w:cstheme="majorBidi"/>
      <w:b/>
      <w:bCs/>
      <w:sz w:val="32"/>
      <w:szCs w:val="32"/>
    </w:rPr>
  </w:style>
  <w:style w:type="character" w:customStyle="1" w:styleId="1Char">
    <w:name w:val="标题 1 Char"/>
    <w:basedOn w:val="a0"/>
    <w:link w:val="1"/>
    <w:uiPriority w:val="9"/>
    <w:rPr>
      <w:b/>
      <w:bCs/>
      <w:kern w:val="44"/>
      <w:sz w:val="36"/>
      <w:szCs w:val="44"/>
    </w:rPr>
  </w:style>
  <w:style w:type="paragraph" w:styleId="aa">
    <w:name w:val="List Paragraph"/>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
    <w:name w:val="批注框文本 Char"/>
    <w:basedOn w:val="a0"/>
    <w:link w:val="a3"/>
    <w:uiPriority w:val="99"/>
    <w:semiHidden/>
    <w:qFormat/>
    <w:rPr>
      <w:sz w:val="18"/>
      <w:szCs w:val="18"/>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10">
    <w:name w:val="书籍标题1"/>
    <w:basedOn w:val="a0"/>
    <w:uiPriority w:val="33"/>
    <w:qFormat/>
    <w:rPr>
      <w:b/>
      <w:bCs/>
      <w:smallCaps/>
      <w:spacing w:val="5"/>
    </w:rPr>
  </w:style>
  <w:style w:type="character" w:customStyle="1" w:styleId="3Char">
    <w:name w:val="标题 3 Char"/>
    <w:basedOn w:val="a0"/>
    <w:link w:val="3"/>
    <w:uiPriority w:val="9"/>
    <w:rPr>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emf"/><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664920-CC12-42AC-BE9F-3A2338DD2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1</Pages>
  <Words>1305</Words>
  <Characters>7443</Characters>
  <Application>Microsoft Office Word</Application>
  <DocSecurity>0</DocSecurity>
  <Lines>62</Lines>
  <Paragraphs>17</Paragraphs>
  <ScaleCrop>false</ScaleCrop>
  <Company>China</Company>
  <LinksUpToDate>false</LinksUpToDate>
  <CharactersWithSpaces>8731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112</cp:revision>
  <dcterms:created xsi:type="dcterms:W3CDTF">2021-04-08T03:21:00Z</dcterms:created>
  <dcterms:modified xsi:type="dcterms:W3CDTF">2021-06-22T10:40:00Z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4ED9E933DB1E44CCB4ECE6C095C2174B</vt:lpwstr>
  </property>
</Properties>
</file>