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3DCAB" w14:textId="77777777" w:rsidR="002B67E9" w:rsidRDefault="002B67E9" w:rsidP="00FC3AC2">
      <w:pPr>
        <w:jc w:val="left"/>
      </w:pPr>
    </w:p>
    <w:p w14:paraId="791539AD" w14:textId="77777777" w:rsidR="002B67E9" w:rsidRDefault="002B67E9" w:rsidP="00FC3AC2">
      <w:pPr>
        <w:jc w:val="left"/>
      </w:pPr>
    </w:p>
    <w:p w14:paraId="3E528C79" w14:textId="77777777" w:rsidR="002B67E9" w:rsidRDefault="002B67E9" w:rsidP="00FC3AC2">
      <w:pPr>
        <w:jc w:val="left"/>
      </w:pPr>
    </w:p>
    <w:p w14:paraId="7FE3C3B6" w14:textId="77777777" w:rsidR="002B67E9" w:rsidRPr="00A942CF" w:rsidRDefault="002B67E9" w:rsidP="00FC3AC2">
      <w:pPr>
        <w:jc w:val="left"/>
        <w:rPr>
          <w:sz w:val="96"/>
        </w:rPr>
      </w:pPr>
      <w:r w:rsidRPr="00A942CF">
        <w:rPr>
          <w:sz w:val="96"/>
        </w:rPr>
        <w:t>SEP- Hauptaufgabe</w:t>
      </w:r>
    </w:p>
    <w:p w14:paraId="5FD82170" w14:textId="77777777" w:rsidR="002B67E9" w:rsidRPr="002B67E9" w:rsidRDefault="002B67E9" w:rsidP="00FC3AC2">
      <w:pPr>
        <w:jc w:val="left"/>
      </w:pPr>
    </w:p>
    <w:p w14:paraId="0187BD81" w14:textId="77777777" w:rsidR="00A73638" w:rsidRDefault="00A73638" w:rsidP="00FC3AC2">
      <w:pPr>
        <w:jc w:val="left"/>
        <w:rPr>
          <w:rFonts w:ascii="Comic Sans MS" w:hAnsi="Comic Sans MS"/>
          <w:sz w:val="40"/>
        </w:rPr>
      </w:pPr>
    </w:p>
    <w:p w14:paraId="4F7D9BFC" w14:textId="2BBDF506" w:rsidR="002B67E9" w:rsidRDefault="006D4043" w:rsidP="00FC3AC2">
      <w:pPr>
        <w:jc w:val="left"/>
        <w:rPr>
          <w:rFonts w:ascii="Comic Sans MS" w:hAnsi="Comic Sans MS"/>
          <w:sz w:val="96"/>
        </w:rPr>
      </w:pPr>
      <w:proofErr w:type="spellStart"/>
      <w:r>
        <w:rPr>
          <w:rFonts w:ascii="Comic Sans MS" w:hAnsi="Comic Sans MS"/>
          <w:sz w:val="40"/>
        </w:rPr>
        <w:t>Reviewdokument</w:t>
      </w:r>
      <w:proofErr w:type="spellEnd"/>
      <w:r w:rsidR="00A73638" w:rsidRPr="0001023A">
        <w:rPr>
          <w:rFonts w:ascii="Comic Sans MS" w:hAnsi="Comic Sans MS"/>
          <w:sz w:val="40"/>
        </w:rPr>
        <w:t xml:space="preserve"> des Projektes</w:t>
      </w:r>
    </w:p>
    <w:p w14:paraId="316DA8F8" w14:textId="5FD05F45" w:rsidR="001D446F" w:rsidRPr="00A942CF" w:rsidRDefault="005141F6" w:rsidP="00FC3AC2">
      <w:pPr>
        <w:jc w:val="left"/>
        <w:rPr>
          <w:rFonts w:ascii="Comic Sans MS" w:hAnsi="Comic Sans MS"/>
          <w:sz w:val="96"/>
        </w:rPr>
      </w:pPr>
      <w:r>
        <w:rPr>
          <w:rFonts w:ascii="Comic Sans MS" w:hAnsi="Comic Sans MS"/>
          <w:sz w:val="96"/>
        </w:rPr>
        <w:t>SEPMAN</w:t>
      </w:r>
    </w:p>
    <w:p w14:paraId="20D5ED23" w14:textId="77777777" w:rsidR="002B67E9" w:rsidRDefault="002B67E9" w:rsidP="00FC3AC2">
      <w:pPr>
        <w:jc w:val="left"/>
      </w:pPr>
    </w:p>
    <w:p w14:paraId="49F72DCF" w14:textId="77777777" w:rsidR="00F04884" w:rsidRDefault="00F04884" w:rsidP="00FC3AC2">
      <w:pPr>
        <w:jc w:val="left"/>
        <w:rPr>
          <w:sz w:val="36"/>
        </w:rPr>
      </w:pPr>
    </w:p>
    <w:p w14:paraId="2AA52CBA" w14:textId="77777777" w:rsidR="00F04884" w:rsidRDefault="00DB367A" w:rsidP="00FC3AC2">
      <w:pPr>
        <w:jc w:val="left"/>
        <w:rPr>
          <w:sz w:val="36"/>
        </w:rPr>
      </w:pPr>
      <w:r>
        <w:rPr>
          <w:i/>
          <w:sz w:val="36"/>
        </w:rPr>
        <w:t>Spezifikation des Projektes</w:t>
      </w:r>
    </w:p>
    <w:p w14:paraId="1DB19CD6" w14:textId="5295BB42" w:rsidR="006F023E" w:rsidRDefault="001D446F" w:rsidP="00FC3AC2">
      <w:pPr>
        <w:jc w:val="left"/>
        <w:rPr>
          <w:sz w:val="36"/>
        </w:rPr>
      </w:pPr>
      <w:r>
        <w:rPr>
          <w:sz w:val="36"/>
        </w:rPr>
        <w:t>Gruppe L</w:t>
      </w:r>
      <w:r w:rsidR="005141F6">
        <w:rPr>
          <w:sz w:val="36"/>
        </w:rPr>
        <w:t>:</w:t>
      </w:r>
    </w:p>
    <w:p w14:paraId="553DAEB0" w14:textId="21814223" w:rsidR="005141F6" w:rsidRDefault="005141F6" w:rsidP="00FC3AC2">
      <w:pPr>
        <w:jc w:val="left"/>
        <w:rPr>
          <w:sz w:val="36"/>
        </w:rPr>
      </w:pPr>
    </w:p>
    <w:p w14:paraId="5C63171B" w14:textId="77777777" w:rsidR="005141F6" w:rsidRDefault="005141F6" w:rsidP="005141F6">
      <w:pPr>
        <w:jc w:val="left"/>
        <w:rPr>
          <w:sz w:val="36"/>
        </w:rPr>
      </w:pPr>
      <w:proofErr w:type="spellStart"/>
      <w:r w:rsidRPr="00473909">
        <w:rPr>
          <w:sz w:val="36"/>
        </w:rPr>
        <w:t>Bardia</w:t>
      </w:r>
      <w:proofErr w:type="spellEnd"/>
      <w:r w:rsidRPr="00473909">
        <w:rPr>
          <w:sz w:val="36"/>
        </w:rPr>
        <w:t xml:space="preserve"> </w:t>
      </w:r>
      <w:proofErr w:type="spellStart"/>
      <w:r w:rsidRPr="00473909">
        <w:rPr>
          <w:sz w:val="36"/>
        </w:rPr>
        <w:t>Asemi-Soloot</w:t>
      </w:r>
      <w:proofErr w:type="spellEnd"/>
      <w:r w:rsidRPr="00473909">
        <w:rPr>
          <w:sz w:val="36"/>
        </w:rPr>
        <w:t xml:space="preserve"> </w:t>
      </w:r>
    </w:p>
    <w:p w14:paraId="607A40F2" w14:textId="77777777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Tobias van den Boom </w:t>
      </w:r>
    </w:p>
    <w:p w14:paraId="4D1A7175" w14:textId="77777777" w:rsidR="005141F6" w:rsidRDefault="005141F6" w:rsidP="005141F6">
      <w:pPr>
        <w:jc w:val="left"/>
        <w:rPr>
          <w:sz w:val="36"/>
        </w:rPr>
      </w:pPr>
      <w:proofErr w:type="spellStart"/>
      <w:r w:rsidRPr="00473909">
        <w:rPr>
          <w:sz w:val="36"/>
        </w:rPr>
        <w:t>Sbiha</w:t>
      </w:r>
      <w:proofErr w:type="spellEnd"/>
      <w:r w:rsidRPr="00473909">
        <w:rPr>
          <w:sz w:val="36"/>
        </w:rPr>
        <w:t xml:space="preserve"> Can </w:t>
      </w:r>
    </w:p>
    <w:p w14:paraId="0A7F84C7" w14:textId="77777777" w:rsidR="005141F6" w:rsidRDefault="005141F6" w:rsidP="005141F6">
      <w:pPr>
        <w:jc w:val="left"/>
        <w:rPr>
          <w:sz w:val="36"/>
        </w:rPr>
      </w:pPr>
      <w:proofErr w:type="spellStart"/>
      <w:r w:rsidRPr="00473909">
        <w:rPr>
          <w:sz w:val="36"/>
        </w:rPr>
        <w:t>Dilara</w:t>
      </w:r>
      <w:proofErr w:type="spellEnd"/>
      <w:r w:rsidRPr="00473909">
        <w:rPr>
          <w:sz w:val="36"/>
        </w:rPr>
        <w:t xml:space="preserve"> Güler </w:t>
      </w:r>
    </w:p>
    <w:p w14:paraId="59156FA7" w14:textId="77777777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Dominikus </w:t>
      </w:r>
      <w:proofErr w:type="spellStart"/>
      <w:r w:rsidRPr="00473909">
        <w:rPr>
          <w:sz w:val="36"/>
        </w:rPr>
        <w:t>Häckel</w:t>
      </w:r>
      <w:proofErr w:type="spellEnd"/>
      <w:r w:rsidRPr="00473909">
        <w:rPr>
          <w:sz w:val="36"/>
        </w:rPr>
        <w:t xml:space="preserve"> </w:t>
      </w:r>
    </w:p>
    <w:p w14:paraId="26693DB3" w14:textId="77777777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Bijan </w:t>
      </w:r>
      <w:proofErr w:type="spellStart"/>
      <w:r w:rsidRPr="00473909">
        <w:rPr>
          <w:sz w:val="36"/>
        </w:rPr>
        <w:t>Shahbaz</w:t>
      </w:r>
      <w:proofErr w:type="spellEnd"/>
      <w:r w:rsidRPr="00473909">
        <w:rPr>
          <w:sz w:val="36"/>
        </w:rPr>
        <w:t xml:space="preserve"> </w:t>
      </w:r>
      <w:proofErr w:type="spellStart"/>
      <w:r w:rsidRPr="00473909">
        <w:rPr>
          <w:sz w:val="36"/>
        </w:rPr>
        <w:t>Nejad</w:t>
      </w:r>
      <w:proofErr w:type="spellEnd"/>
      <w:r w:rsidRPr="00473909">
        <w:rPr>
          <w:sz w:val="36"/>
        </w:rPr>
        <w:t xml:space="preserve"> </w:t>
      </w:r>
    </w:p>
    <w:p w14:paraId="76D2F015" w14:textId="2E70C250" w:rsidR="005141F6" w:rsidRDefault="005141F6" w:rsidP="005141F6">
      <w:pPr>
        <w:jc w:val="left"/>
        <w:rPr>
          <w:sz w:val="36"/>
        </w:rPr>
      </w:pPr>
      <w:r w:rsidRPr="00473909">
        <w:rPr>
          <w:sz w:val="36"/>
        </w:rPr>
        <w:t xml:space="preserve">Angelo </w:t>
      </w:r>
      <w:proofErr w:type="spellStart"/>
      <w:r w:rsidRPr="00473909">
        <w:rPr>
          <w:sz w:val="36"/>
        </w:rPr>
        <w:t>Soltner</w:t>
      </w:r>
      <w:proofErr w:type="spellEnd"/>
    </w:p>
    <w:p w14:paraId="41DA793C" w14:textId="77777777" w:rsidR="006F023E" w:rsidRDefault="006F023E" w:rsidP="00FC3AC2">
      <w:pPr>
        <w:jc w:val="left"/>
        <w:rPr>
          <w:sz w:val="36"/>
        </w:rPr>
      </w:pPr>
    </w:p>
    <w:p w14:paraId="238E6DCB" w14:textId="77777777" w:rsidR="001D446F" w:rsidRDefault="001D446F" w:rsidP="00FC3AC2">
      <w:pPr>
        <w:jc w:val="left"/>
        <w:rPr>
          <w:sz w:val="36"/>
        </w:rPr>
      </w:pPr>
    </w:p>
    <w:p w14:paraId="68305121" w14:textId="77777777" w:rsidR="00F04884" w:rsidRPr="0001023A" w:rsidRDefault="00F04884" w:rsidP="00FC3AC2">
      <w:pPr>
        <w:jc w:val="left"/>
        <w:rPr>
          <w:i/>
          <w:sz w:val="36"/>
        </w:rPr>
      </w:pPr>
      <w:r w:rsidRPr="0001023A">
        <w:rPr>
          <w:i/>
          <w:sz w:val="36"/>
        </w:rPr>
        <w:t>Systemdesign des Projektes</w:t>
      </w:r>
    </w:p>
    <w:p w14:paraId="20A555FA" w14:textId="12C3ADD3" w:rsidR="006F023E" w:rsidRDefault="001D446F" w:rsidP="00FC3AC2">
      <w:pPr>
        <w:jc w:val="left"/>
        <w:rPr>
          <w:sz w:val="36"/>
        </w:rPr>
      </w:pPr>
      <w:r>
        <w:rPr>
          <w:sz w:val="36"/>
        </w:rPr>
        <w:t>Gruppe K:</w:t>
      </w:r>
    </w:p>
    <w:p w14:paraId="01E01C62" w14:textId="77777777" w:rsidR="006F023E" w:rsidRDefault="006F023E" w:rsidP="00FC3AC2">
      <w:pPr>
        <w:jc w:val="left"/>
        <w:rPr>
          <w:sz w:val="36"/>
        </w:rPr>
      </w:pPr>
    </w:p>
    <w:p w14:paraId="77F027D4" w14:textId="2FC293BF" w:rsidR="001D446F" w:rsidRDefault="001D446F" w:rsidP="00FC3AC2">
      <w:pPr>
        <w:jc w:val="left"/>
        <w:rPr>
          <w:sz w:val="36"/>
        </w:rPr>
      </w:pPr>
      <w:r>
        <w:rPr>
          <w:sz w:val="36"/>
        </w:rPr>
        <w:t xml:space="preserve">Katharina Böse </w:t>
      </w:r>
    </w:p>
    <w:p w14:paraId="5334E85A" w14:textId="72499B2F" w:rsidR="001D446F" w:rsidRDefault="001D446F" w:rsidP="00FC3AC2">
      <w:pPr>
        <w:jc w:val="left"/>
        <w:rPr>
          <w:sz w:val="36"/>
        </w:rPr>
      </w:pPr>
      <w:r>
        <w:rPr>
          <w:sz w:val="36"/>
        </w:rPr>
        <w:t>Mark Leifeld</w:t>
      </w:r>
    </w:p>
    <w:p w14:paraId="56AAD210" w14:textId="205DBB39" w:rsidR="001D446F" w:rsidRDefault="001D446F" w:rsidP="00FC3AC2">
      <w:pPr>
        <w:jc w:val="left"/>
        <w:rPr>
          <w:sz w:val="36"/>
        </w:rPr>
      </w:pPr>
      <w:r>
        <w:rPr>
          <w:sz w:val="36"/>
        </w:rPr>
        <w:t xml:space="preserve">Tristan </w:t>
      </w:r>
      <w:proofErr w:type="spellStart"/>
      <w:r>
        <w:rPr>
          <w:sz w:val="36"/>
        </w:rPr>
        <w:t>Corzilius</w:t>
      </w:r>
      <w:proofErr w:type="spellEnd"/>
    </w:p>
    <w:p w14:paraId="46E437F9" w14:textId="73C12F7D" w:rsidR="005141F6" w:rsidRDefault="005141F6" w:rsidP="00FC3AC2">
      <w:pPr>
        <w:jc w:val="left"/>
        <w:rPr>
          <w:sz w:val="36"/>
        </w:rPr>
      </w:pPr>
      <w:r>
        <w:rPr>
          <w:sz w:val="36"/>
        </w:rPr>
        <w:t>Johannes Grundmann</w:t>
      </w:r>
    </w:p>
    <w:p w14:paraId="5547B9A2" w14:textId="073B9452" w:rsidR="005141F6" w:rsidRDefault="005141F6" w:rsidP="00FC3AC2">
      <w:pPr>
        <w:jc w:val="left"/>
        <w:rPr>
          <w:sz w:val="36"/>
        </w:rPr>
      </w:pPr>
      <w:r>
        <w:rPr>
          <w:sz w:val="36"/>
        </w:rPr>
        <w:t>Sami Khatif</w:t>
      </w:r>
    </w:p>
    <w:p w14:paraId="5C79FD78" w14:textId="76FE1FD0" w:rsidR="00ED2947" w:rsidRDefault="00ED2947" w:rsidP="00FC3AC2">
      <w:pPr>
        <w:jc w:val="left"/>
        <w:rPr>
          <w:sz w:val="36"/>
        </w:rPr>
      </w:pPr>
      <w:proofErr w:type="spellStart"/>
      <w:r>
        <w:rPr>
          <w:sz w:val="36"/>
        </w:rPr>
        <w:t>Gizem</w:t>
      </w:r>
      <w:proofErr w:type="spellEnd"/>
      <w:r>
        <w:rPr>
          <w:sz w:val="36"/>
        </w:rPr>
        <w:t xml:space="preserve"> Gülser</w:t>
      </w:r>
    </w:p>
    <w:p w14:paraId="4EFDBB0F" w14:textId="0E1767F3" w:rsidR="00ED2947" w:rsidRDefault="00ED2947" w:rsidP="00FC3AC2">
      <w:pPr>
        <w:jc w:val="left"/>
        <w:rPr>
          <w:sz w:val="36"/>
        </w:rPr>
      </w:pPr>
      <w:proofErr w:type="spellStart"/>
      <w:r>
        <w:rPr>
          <w:sz w:val="36"/>
        </w:rPr>
        <w:t>Thorben</w:t>
      </w:r>
      <w:proofErr w:type="spellEnd"/>
      <w:r>
        <w:rPr>
          <w:sz w:val="36"/>
        </w:rPr>
        <w:t xml:space="preserve"> Friedrichs</w:t>
      </w:r>
      <w:bookmarkStart w:id="0" w:name="_GoBack"/>
      <w:bookmarkEnd w:id="0"/>
    </w:p>
    <w:p w14:paraId="553ECD77" w14:textId="77777777" w:rsidR="0077716F" w:rsidRPr="0077716F" w:rsidRDefault="002B67E9" w:rsidP="00FC3AC2">
      <w:pPr>
        <w:jc w:val="left"/>
        <w:rPr>
          <w:b/>
        </w:rPr>
      </w:pPr>
      <w:r>
        <w:br w:type="page"/>
      </w:r>
      <w:r w:rsidR="0077716F" w:rsidRPr="0077716F">
        <w:rPr>
          <w:b/>
          <w:sz w:val="32"/>
        </w:rPr>
        <w:lastRenderedPageBreak/>
        <w:t>Einleitung</w:t>
      </w:r>
    </w:p>
    <w:p w14:paraId="655D3422" w14:textId="77777777" w:rsidR="0077716F" w:rsidRDefault="0077716F" w:rsidP="00FC3AC2">
      <w:pPr>
        <w:jc w:val="left"/>
      </w:pPr>
    </w:p>
    <w:p w14:paraId="43A5D764" w14:textId="77777777" w:rsidR="002B78D7" w:rsidRPr="003A6598" w:rsidRDefault="0028568B" w:rsidP="00FC3AC2">
      <w:pPr>
        <w:jc w:val="left"/>
        <w:rPr>
          <w:rFonts w:ascii="Courier" w:hAnsi="Courier"/>
        </w:rPr>
      </w:pPr>
      <w:r>
        <w:t xml:space="preserve">Dieses Dokument dient dem Review der Spezifikation. Die Kapitel beinhalten die Checklisten der Präsentationsfolien, auf Basis derer die erstellte Dokumentation gegengeprüft werden kann. </w:t>
      </w:r>
    </w:p>
    <w:p w14:paraId="4C44E567" w14:textId="77777777" w:rsidR="00986423" w:rsidRDefault="00986423" w:rsidP="00FC3AC2">
      <w:pPr>
        <w:jc w:val="left"/>
      </w:pPr>
    </w:p>
    <w:p w14:paraId="0A21849A" w14:textId="77777777" w:rsidR="00986423" w:rsidRDefault="00986423" w:rsidP="00FC3AC2">
      <w:pPr>
        <w:jc w:val="left"/>
      </w:pPr>
    </w:p>
    <w:p w14:paraId="42E8B5CD" w14:textId="77777777" w:rsidR="00345690" w:rsidRPr="0001023A" w:rsidRDefault="00345690" w:rsidP="00FC3AC2">
      <w:pPr>
        <w:jc w:val="left"/>
        <w:rPr>
          <w:b/>
          <w:sz w:val="32"/>
        </w:rPr>
      </w:pPr>
      <w:r w:rsidRPr="0001023A">
        <w:rPr>
          <w:b/>
          <w:sz w:val="32"/>
        </w:rPr>
        <w:t>Inhaltsverzeichnis</w:t>
      </w:r>
    </w:p>
    <w:p w14:paraId="7493599A" w14:textId="77777777" w:rsidR="00345690" w:rsidRPr="00345690" w:rsidRDefault="00345690" w:rsidP="00FC3AC2">
      <w:pPr>
        <w:jc w:val="left"/>
      </w:pPr>
    </w:p>
    <w:p w14:paraId="53E16ADF" w14:textId="0DCB0FF0" w:rsidR="005646BD" w:rsidRDefault="003A1191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A942CF">
        <w:instrText xml:space="preserve"> TOC \o "1-3" \h \z \u </w:instrText>
      </w:r>
      <w:r>
        <w:fldChar w:fldCharType="separate"/>
      </w:r>
      <w:hyperlink w:anchor="_Toc371602149" w:history="1">
        <w:r w:rsidR="005646BD" w:rsidRPr="003B5042">
          <w:rPr>
            <w:rStyle w:val="Link"/>
          </w:rPr>
          <w:t>1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Projektbeschreibung (</w:t>
        </w:r>
        <w:r w:rsidR="005141F6">
          <w:rPr>
            <w:rStyle w:val="Link"/>
          </w:rPr>
          <w:t>SEPMAN</w:t>
        </w:r>
        <w:r w:rsidR="005646BD" w:rsidRPr="003B5042">
          <w:rPr>
            <w:rStyle w:val="Link"/>
          </w:rPr>
          <w:t>)</w:t>
        </w:r>
        <w:r w:rsidR="005646BD">
          <w:rPr>
            <w:webHidden/>
          </w:rPr>
          <w:tab/>
        </w:r>
        <w:r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5B8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CDC5A8" w14:textId="77777777" w:rsidR="005646BD" w:rsidRDefault="00054AF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50" w:history="1">
        <w:r w:rsidR="005646BD" w:rsidRPr="003B5042">
          <w:rPr>
            <w:rStyle w:val="Link"/>
          </w:rPr>
          <w:t>2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Anforderungsdefinition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_Toc371602150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D45B82">
          <w:rPr>
            <w:webHidden/>
          </w:rPr>
          <w:t>4</w:t>
        </w:r>
        <w:r w:rsidR="003A1191">
          <w:rPr>
            <w:webHidden/>
          </w:rPr>
          <w:fldChar w:fldCharType="end"/>
        </w:r>
      </w:hyperlink>
    </w:p>
    <w:p w14:paraId="36246CF0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1" w:history="1">
        <w:r w:rsidR="005646BD" w:rsidRPr="003B5042">
          <w:rPr>
            <w:rStyle w:val="Link"/>
            <w:noProof/>
          </w:rPr>
          <w:t>2.1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Zielmodell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_Toc371602151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4</w:t>
        </w:r>
        <w:r w:rsidR="003A1191">
          <w:rPr>
            <w:noProof/>
            <w:webHidden/>
          </w:rPr>
          <w:fldChar w:fldCharType="end"/>
        </w:r>
      </w:hyperlink>
    </w:p>
    <w:p w14:paraId="2E7401CA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2" w:history="1">
        <w:r w:rsidR="005646BD" w:rsidRPr="003B5042">
          <w:rPr>
            <w:rStyle w:val="Link"/>
            <w:noProof/>
          </w:rPr>
          <w:t>2.2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Szenarien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_Toc371602152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4</w:t>
        </w:r>
        <w:r w:rsidR="003A1191">
          <w:rPr>
            <w:noProof/>
            <w:webHidden/>
          </w:rPr>
          <w:fldChar w:fldCharType="end"/>
        </w:r>
      </w:hyperlink>
    </w:p>
    <w:p w14:paraId="33756A9D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3" w:history="1">
        <w:r w:rsidR="005646BD" w:rsidRPr="003B5042">
          <w:rPr>
            <w:rStyle w:val="Link"/>
            <w:noProof/>
          </w:rPr>
          <w:t>2.3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Kontextmodell / Spielmodell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_Toc371602153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4</w:t>
        </w:r>
        <w:r w:rsidR="003A1191">
          <w:rPr>
            <w:noProof/>
            <w:webHidden/>
          </w:rPr>
          <w:fldChar w:fldCharType="end"/>
        </w:r>
      </w:hyperlink>
    </w:p>
    <w:p w14:paraId="3A87E6C5" w14:textId="77777777" w:rsidR="005646BD" w:rsidRDefault="00054AF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54" w:history="1">
        <w:r w:rsidR="005646BD" w:rsidRPr="003B5042">
          <w:rPr>
            <w:rStyle w:val="Link"/>
          </w:rPr>
          <w:t>3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Logischer Architekturentwurf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_Toc371602154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D45B82">
          <w:rPr>
            <w:webHidden/>
          </w:rPr>
          <w:t>5</w:t>
        </w:r>
        <w:r w:rsidR="003A1191">
          <w:rPr>
            <w:webHidden/>
          </w:rPr>
          <w:fldChar w:fldCharType="end"/>
        </w:r>
      </w:hyperlink>
    </w:p>
    <w:p w14:paraId="0AACF653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5" w:history="1">
        <w:r w:rsidR="005646BD" w:rsidRPr="003B5042">
          <w:rPr>
            <w:rStyle w:val="Link"/>
            <w:noProof/>
          </w:rPr>
          <w:t>3.1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Datenflussdiagramm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_Toc371602155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28729111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6" w:history="1">
        <w:r w:rsidR="005646BD" w:rsidRPr="003B5042">
          <w:rPr>
            <w:rStyle w:val="Link"/>
            <w:noProof/>
          </w:rPr>
          <w:t>3.2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Mini Spezifikation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_Toc371602156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4E33F485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7" w:history="1">
        <w:r w:rsidR="005646BD" w:rsidRPr="003B5042">
          <w:rPr>
            <w:rStyle w:val="Link"/>
            <w:noProof/>
          </w:rPr>
          <w:t>3.3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Data Dictionary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_Toc371602157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3A3866C3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58" w:history="1">
        <w:r w:rsidR="005646BD" w:rsidRPr="003B5042">
          <w:rPr>
            <w:rStyle w:val="Link"/>
            <w:noProof/>
          </w:rPr>
          <w:t>3.4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Message Sequence Charts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_Toc371602158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5</w:t>
        </w:r>
        <w:r w:rsidR="003A1191">
          <w:rPr>
            <w:noProof/>
            <w:webHidden/>
          </w:rPr>
          <w:fldChar w:fldCharType="end"/>
        </w:r>
      </w:hyperlink>
    </w:p>
    <w:p w14:paraId="20CB1584" w14:textId="77777777" w:rsidR="005646BD" w:rsidRDefault="00054AF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59" w:history="1">
        <w:r w:rsidR="005646BD" w:rsidRPr="003B5042">
          <w:rPr>
            <w:rStyle w:val="Link"/>
          </w:rPr>
          <w:t>4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Technischer Architekturentwurf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_Toc371602159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D45B82">
          <w:rPr>
            <w:webHidden/>
          </w:rPr>
          <w:t>6</w:t>
        </w:r>
        <w:r w:rsidR="003A1191">
          <w:rPr>
            <w:webHidden/>
          </w:rPr>
          <w:fldChar w:fldCharType="end"/>
        </w:r>
      </w:hyperlink>
    </w:p>
    <w:p w14:paraId="2A053827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60" w:history="1">
        <w:r w:rsidR="005646BD" w:rsidRPr="003B5042">
          <w:rPr>
            <w:rStyle w:val="Link"/>
            <w:noProof/>
          </w:rPr>
          <w:t>4.1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Technisches  Konzept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_Toc371602160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6</w:t>
        </w:r>
        <w:r w:rsidR="003A1191">
          <w:rPr>
            <w:noProof/>
            <w:webHidden/>
          </w:rPr>
          <w:fldChar w:fldCharType="end"/>
        </w:r>
      </w:hyperlink>
    </w:p>
    <w:p w14:paraId="254809C9" w14:textId="77777777" w:rsidR="005646BD" w:rsidRDefault="00054AF2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371602161" w:history="1">
        <w:r w:rsidR="005646BD" w:rsidRPr="003B5042">
          <w:rPr>
            <w:rStyle w:val="Link"/>
          </w:rPr>
          <w:t>5</w:t>
        </w:r>
        <w:r w:rsidR="005646B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646BD" w:rsidRPr="003B5042">
          <w:rPr>
            <w:rStyle w:val="Link"/>
          </w:rPr>
          <w:t>Komponentenentwurf</w:t>
        </w:r>
        <w:r w:rsidR="005646BD">
          <w:rPr>
            <w:webHidden/>
          </w:rPr>
          <w:tab/>
        </w:r>
        <w:r w:rsidR="003A1191">
          <w:rPr>
            <w:webHidden/>
          </w:rPr>
          <w:fldChar w:fldCharType="begin"/>
        </w:r>
        <w:r w:rsidR="005646BD">
          <w:rPr>
            <w:webHidden/>
          </w:rPr>
          <w:instrText xml:space="preserve"> PAGEREF _Toc371602161 \h </w:instrText>
        </w:r>
        <w:r w:rsidR="003A1191">
          <w:rPr>
            <w:webHidden/>
          </w:rPr>
        </w:r>
        <w:r w:rsidR="003A1191">
          <w:rPr>
            <w:webHidden/>
          </w:rPr>
          <w:fldChar w:fldCharType="separate"/>
        </w:r>
        <w:r w:rsidR="00D45B82">
          <w:rPr>
            <w:webHidden/>
          </w:rPr>
          <w:t>7</w:t>
        </w:r>
        <w:r w:rsidR="003A1191">
          <w:rPr>
            <w:webHidden/>
          </w:rPr>
          <w:fldChar w:fldCharType="end"/>
        </w:r>
      </w:hyperlink>
    </w:p>
    <w:p w14:paraId="57AC20C9" w14:textId="77777777" w:rsidR="005646BD" w:rsidRDefault="00054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1602162" w:history="1">
        <w:r w:rsidR="005646BD" w:rsidRPr="003B5042">
          <w:rPr>
            <w:rStyle w:val="Link"/>
            <w:noProof/>
          </w:rPr>
          <w:t>5.1</w:t>
        </w:r>
        <w:r w:rsidR="005646B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646BD" w:rsidRPr="003B5042">
          <w:rPr>
            <w:rStyle w:val="Link"/>
            <w:noProof/>
          </w:rPr>
          <w:t>Komponentendiagramm</w:t>
        </w:r>
        <w:r w:rsidR="005646BD">
          <w:rPr>
            <w:noProof/>
            <w:webHidden/>
          </w:rPr>
          <w:tab/>
        </w:r>
        <w:r w:rsidR="003A1191">
          <w:rPr>
            <w:noProof/>
            <w:webHidden/>
          </w:rPr>
          <w:fldChar w:fldCharType="begin"/>
        </w:r>
        <w:r w:rsidR="005646BD">
          <w:rPr>
            <w:noProof/>
            <w:webHidden/>
          </w:rPr>
          <w:instrText xml:space="preserve"> PAGEREF _Toc371602162 \h </w:instrText>
        </w:r>
        <w:r w:rsidR="003A1191">
          <w:rPr>
            <w:noProof/>
            <w:webHidden/>
          </w:rPr>
        </w:r>
        <w:r w:rsidR="003A1191">
          <w:rPr>
            <w:noProof/>
            <w:webHidden/>
          </w:rPr>
          <w:fldChar w:fldCharType="separate"/>
        </w:r>
        <w:r w:rsidR="00D45B82">
          <w:rPr>
            <w:noProof/>
            <w:webHidden/>
          </w:rPr>
          <w:t>7</w:t>
        </w:r>
        <w:r w:rsidR="003A1191">
          <w:rPr>
            <w:noProof/>
            <w:webHidden/>
          </w:rPr>
          <w:fldChar w:fldCharType="end"/>
        </w:r>
      </w:hyperlink>
    </w:p>
    <w:p w14:paraId="0172A4C7" w14:textId="77777777" w:rsidR="00D374D2" w:rsidRDefault="003A1191" w:rsidP="00FC3AC2">
      <w:pPr>
        <w:jc w:val="left"/>
      </w:pPr>
      <w:r>
        <w:fldChar w:fldCharType="end"/>
      </w:r>
      <w:r w:rsidR="00191F9C">
        <w:br/>
      </w:r>
      <w:r w:rsidR="00D374D2">
        <w:br w:type="page"/>
      </w:r>
    </w:p>
    <w:p w14:paraId="26280D08" w14:textId="2D93CDB3" w:rsidR="00A65B73" w:rsidRDefault="00D846C3" w:rsidP="00FC3AC2">
      <w:pPr>
        <w:pStyle w:val="berschrift1"/>
      </w:pPr>
      <w:bookmarkStart w:id="1" w:name="_Toc371602149"/>
      <w:r>
        <w:lastRenderedPageBreak/>
        <w:t>Projektbeschreibung</w:t>
      </w:r>
      <w:r w:rsidR="00E25078">
        <w:t xml:space="preserve"> </w:t>
      </w:r>
      <w:bookmarkEnd w:id="1"/>
      <w:r w:rsidR="001D446F">
        <w:t>(SEP MS)</w:t>
      </w:r>
    </w:p>
    <w:p w14:paraId="6988C239" w14:textId="77777777" w:rsidR="00361723" w:rsidRDefault="00361723" w:rsidP="00FC3AC2">
      <w:pPr>
        <w:jc w:val="left"/>
      </w:pPr>
    </w:p>
    <w:p w14:paraId="3E8FF3A4" w14:textId="77777777" w:rsidR="00361723" w:rsidRDefault="00361723" w:rsidP="00FC3AC2">
      <w:pPr>
        <w:jc w:val="left"/>
      </w:pPr>
    </w:p>
    <w:p w14:paraId="33829E2A" w14:textId="77777777" w:rsidR="00361723" w:rsidRDefault="00E236F6" w:rsidP="00FC3AC2">
      <w:pPr>
        <w:jc w:val="left"/>
      </w:pPr>
      <w:r>
        <w:rPr>
          <w:noProof/>
        </w:rPr>
        <w:drawing>
          <wp:inline distT="0" distB="0" distL="0" distR="0" wp14:anchorId="5BDF441C" wp14:editId="1F44C076">
            <wp:extent cx="5760720" cy="3212309"/>
            <wp:effectExtent l="19050" t="0" r="0" b="0"/>
            <wp:docPr id="3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5099343"/>
                      <a:chOff x="0" y="827855"/>
                      <a:chExt cx="9144000" cy="5099343"/>
                    </a:xfrm>
                  </a:grpSpPr>
                  <a:sp>
                    <a:nvSpPr>
                      <a:cNvPr id="7" name="Rechteck 6"/>
                      <a:cNvSpPr/>
                    </a:nvSpPr>
                    <a:spPr bwMode="auto">
                      <a:xfrm>
                        <a:off x="7007132" y="827855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20663" marR="0" indent="-220663" algn="ctr" defTabSz="914400" rtl="0" eaLnBrk="1" fontAlgn="base" latinLnBrk="0" hangingPunct="1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buNone/>
                            <a:tabLst/>
                          </a:pPr>
                          <a:r>
                            <a:rPr kumimoji="0" lang="de-DE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/>
                              <a:cs typeface="Arial"/>
                            </a:rPr>
                            <a:t>Abnahme</a:t>
                          </a:r>
                          <a:endParaRPr kumimoji="0" lang="de-DE" sz="1600" b="0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Rechteck 61"/>
                      <a:cNvSpPr/>
                    </a:nvSpPr>
                    <a:spPr bwMode="auto">
                      <a:xfrm>
                        <a:off x="0" y="1604232"/>
                        <a:ext cx="9144000" cy="1739404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indent="-220663" algn="ctr" defTabSz="914400" rtl="0" eaLnBrk="1" fontAlgn="base" latinLnBrk="0" hangingPunct="1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buNone/>
                            <a:tabLst/>
                          </a:pPr>
                          <a:r>
                            <a:rPr kumimoji="0" lang="de-DE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/>
                              <a:cs typeface="Arial"/>
                            </a:rPr>
                            <a:t>Gruppe</a:t>
                          </a:r>
                          <a:r>
                            <a:rPr kumimoji="0" lang="de-DE" sz="16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/>
                              <a:cs typeface="Arial"/>
                            </a:rPr>
                            <a:t> 1</a:t>
                          </a:r>
                          <a:endParaRPr kumimoji="0" lang="de-DE" sz="1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Rechteck 45"/>
                      <a:cNvSpPr/>
                    </a:nvSpPr>
                    <a:spPr bwMode="auto">
                      <a:xfrm>
                        <a:off x="0" y="3336135"/>
                        <a:ext cx="9144000" cy="2591063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indent="-220663" algn="ctr" defTabSz="914400" rtl="0" eaLnBrk="1" fontAlgn="base" latinLnBrk="0" hangingPunct="1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buNone/>
                            <a:tabLst/>
                          </a:pPr>
                          <a:r>
                            <a:rPr kumimoji="0" lang="de-DE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/>
                              <a:cs typeface="Arial"/>
                            </a:rPr>
                            <a:t>Gruppe</a:t>
                          </a:r>
                          <a:r>
                            <a:rPr kumimoji="0" lang="de-DE" sz="1600" b="0" i="0" u="none" strike="noStrike" cap="none" normalizeH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/>
                              <a:cs typeface="Arial"/>
                            </a:rPr>
                            <a:t> 2</a:t>
                          </a:r>
                          <a:endParaRPr kumimoji="0" lang="de-DE" sz="1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chteck 31"/>
                      <a:cNvSpPr/>
                    </a:nvSpPr>
                    <a:spPr bwMode="auto">
                      <a:xfrm>
                        <a:off x="522597" y="2473934"/>
                        <a:ext cx="3329323" cy="1737934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vert270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Architekturentwurf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Pfeil nach unten 15"/>
                      <a:cNvSpPr/>
                    </a:nvSpPr>
                    <a:spPr bwMode="auto">
                      <a:xfrm rot="13011707">
                        <a:off x="5582340" y="953793"/>
                        <a:ext cx="2306924" cy="4588969"/>
                      </a:xfrm>
                      <a:prstGeom prst="downArrow">
                        <a:avLst/>
                      </a:prstGeom>
                      <a:solidFill>
                        <a:schemeClr val="bg1">
                          <a:lumMod val="95000"/>
                          <a:alpha val="50000"/>
                        </a:schemeClr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indent="-220663" algn="ctr" defTabSz="914400" rtl="0" eaLnBrk="1" fontAlgn="base" latinLnBrk="0" hangingPunct="1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buNone/>
                            <a:tabLst/>
                          </a:pPr>
                          <a:endParaRPr kumimoji="0" lang="de-DE" sz="1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Pfeil nach unten 14"/>
                      <a:cNvSpPr/>
                    </a:nvSpPr>
                    <a:spPr bwMode="auto">
                      <a:xfrm rot="19792387">
                        <a:off x="957785" y="1030204"/>
                        <a:ext cx="2306924" cy="3882270"/>
                      </a:xfrm>
                      <a:prstGeom prst="downArrow">
                        <a:avLst/>
                      </a:prstGeom>
                      <a:solidFill>
                        <a:schemeClr val="bg1">
                          <a:lumMod val="95000"/>
                          <a:alpha val="50000"/>
                        </a:schemeClr>
                      </a:solidFill>
                      <a:ln w="12700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indent="-220663" algn="ctr" defTabSz="914400" rtl="0" eaLnBrk="1" fontAlgn="base" latinLnBrk="0" hangingPunct="1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buNone/>
                            <a:tabLst/>
                          </a:pPr>
                          <a:endParaRPr kumimoji="0" lang="de-DE" sz="1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hteck 5"/>
                      <a:cNvSpPr/>
                    </a:nvSpPr>
                    <a:spPr bwMode="auto">
                      <a:xfrm>
                        <a:off x="179512" y="827855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indent="-220663" algn="ctr" defTabSz="914400" rtl="0" eaLnBrk="1" fontAlgn="base" latinLnBrk="0" hangingPunct="1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buNone/>
                            <a:tabLst/>
                          </a:pPr>
                          <a:r>
                            <a:rPr kumimoji="0" lang="de-DE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/>
                              <a:cs typeface="Arial"/>
                            </a:rPr>
                            <a:t>Aufgabenstellung</a:t>
                          </a:r>
                          <a:endParaRPr kumimoji="0" lang="de-DE" sz="1600" b="0" i="0" u="none" strike="noStrike" cap="none" normalizeH="0" baseline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hteck 7"/>
                      <a:cNvSpPr/>
                    </a:nvSpPr>
                    <a:spPr bwMode="auto">
                      <a:xfrm>
                        <a:off x="683568" y="1691951"/>
                        <a:ext cx="1940027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Anforderungs-</a:t>
                          </a:r>
                          <a:r>
                            <a:rPr lang="de-DE" sz="1600" dirty="0">
                              <a:latin typeface="Arial"/>
                              <a:cs typeface="Arial"/>
                            </a:rPr>
                            <a:t/>
                          </a:r>
                          <a:br>
                            <a:rPr lang="de-DE" sz="1600" dirty="0">
                              <a:latin typeface="Arial"/>
                              <a:cs typeface="Arial"/>
                            </a:rPr>
                          </a:br>
                          <a:r>
                            <a:rPr lang="de-DE" sz="1600" dirty="0" err="1" smtClean="0">
                              <a:latin typeface="Arial"/>
                              <a:cs typeface="Arial"/>
                            </a:rPr>
                            <a:t>definition</a:t>
                          </a:r>
                          <a:endParaRPr lang="de-DE" sz="1600" dirty="0" smtClean="0"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hteck 8"/>
                      <a:cNvSpPr/>
                    </a:nvSpPr>
                    <a:spPr bwMode="auto">
                      <a:xfrm>
                        <a:off x="1151620" y="2556047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Logischer</a:t>
                          </a:r>
                          <a:br>
                            <a:rPr lang="de-DE" sz="1600" dirty="0" smtClean="0">
                              <a:latin typeface="Arial"/>
                              <a:cs typeface="Arial"/>
                            </a:rPr>
                          </a:br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Architekturentwurf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Rechteck 9"/>
                      <a:cNvSpPr/>
                    </a:nvSpPr>
                    <a:spPr bwMode="auto">
                      <a:xfrm>
                        <a:off x="1638721" y="3417574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Technischer</a:t>
                          </a:r>
                          <a:br>
                            <a:rPr lang="de-DE" sz="1600" dirty="0" smtClean="0">
                              <a:latin typeface="Arial"/>
                              <a:cs typeface="Arial"/>
                            </a:rPr>
                          </a:br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Architekturentwurf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Rechteck 10"/>
                      <a:cNvSpPr/>
                    </a:nvSpPr>
                    <a:spPr bwMode="auto">
                      <a:xfrm>
                        <a:off x="2123728" y="4279101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Komponentenentwurf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 bwMode="auto">
                      <a:xfrm>
                        <a:off x="4499992" y="4279101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Modultest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Rechteck 12"/>
                      <a:cNvSpPr/>
                    </a:nvSpPr>
                    <a:spPr bwMode="auto">
                      <a:xfrm>
                        <a:off x="4888162" y="3405805"/>
                        <a:ext cx="1944216" cy="648072"/>
                      </a:xfrm>
                      <a:prstGeom prst="rect">
                        <a:avLst/>
                      </a:prstGeom>
                      <a:pattFill prst="ltUpDiag">
                        <a:fgClr>
                          <a:schemeClr val="bg1">
                            <a:lumMod val="50000"/>
                          </a:schemeClr>
                        </a:fgClr>
                        <a:bgClr>
                          <a:schemeClr val="bg1"/>
                        </a:bgClr>
                      </a:patt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Integrationstest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hteck 13"/>
                      <a:cNvSpPr/>
                    </a:nvSpPr>
                    <a:spPr bwMode="auto">
                      <a:xfrm>
                        <a:off x="6494848" y="1691951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Systemtest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Gewinkelte Verbindung 17"/>
                      <a:cNvCxnSpPr/>
                    </a:nvCxnSpPr>
                    <a:spPr bwMode="auto">
                      <a:xfrm rot="16200000" flipH="1">
                        <a:off x="1991716" y="1415924"/>
                        <a:ext cx="408040" cy="144013"/>
                      </a:xfrm>
                      <a:prstGeom prst="bentConnector3">
                        <a:avLst>
                          <a:gd name="adj1" fmla="val 5648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19" name="Gewinkelte Verbindung 18"/>
                      <a:cNvCxnSpPr>
                        <a:stCxn id="8" idx="1"/>
                      </a:cNvCxnSpPr>
                    </a:nvCxnSpPr>
                    <a:spPr bwMode="auto">
                      <a:xfrm rot="10800000">
                        <a:off x="467544" y="1475927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23" name="Gewinkelte Verbindung 22"/>
                      <a:cNvCxnSpPr/>
                    </a:nvCxnSpPr>
                    <a:spPr bwMode="auto">
                      <a:xfrm rot="10800000">
                        <a:off x="935596" y="2316690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25" name="Gewinkelte Verbindung 24"/>
                      <a:cNvCxnSpPr/>
                    </a:nvCxnSpPr>
                    <a:spPr bwMode="auto">
                      <a:xfrm rot="10800000">
                        <a:off x="1422697" y="3204119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27" name="Gewinkelte Verbindung 26"/>
                      <a:cNvCxnSpPr/>
                    </a:nvCxnSpPr>
                    <a:spPr bwMode="auto">
                      <a:xfrm rot="10800000">
                        <a:off x="1899107" y="4082494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29" name="Gerade Verbindung mit Pfeil 28"/>
                      <a:cNvCxnSpPr>
                        <a:stCxn id="11" idx="3"/>
                        <a:endCxn id="12" idx="1"/>
                      </a:cNvCxnSpPr>
                    </a:nvCxnSpPr>
                    <a:spPr bwMode="auto">
                      <a:xfrm>
                        <a:off x="4067944" y="4603137"/>
                        <a:ext cx="432048" cy="0"/>
                      </a:xfrm>
                      <a:prstGeom prst="straightConnector1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dash"/>
                        <a:round/>
                        <a:headEnd type="arrow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31" name="Gerade Verbindung mit Pfeil 30"/>
                      <a:cNvCxnSpPr>
                        <a:endCxn id="13" idx="1"/>
                      </a:cNvCxnSpPr>
                    </a:nvCxnSpPr>
                    <a:spPr bwMode="auto">
                      <a:xfrm flipV="1">
                        <a:off x="3851920" y="3729841"/>
                        <a:ext cx="1036242" cy="5884"/>
                      </a:xfrm>
                      <a:prstGeom prst="straightConnector1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dash"/>
                        <a:round/>
                        <a:headEnd type="arrow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37" name="Gerade Verbindung mit Pfeil 36"/>
                      <a:cNvCxnSpPr>
                        <a:stCxn id="8" idx="3"/>
                        <a:endCxn id="14" idx="1"/>
                      </a:cNvCxnSpPr>
                    </a:nvCxnSpPr>
                    <a:spPr bwMode="auto">
                      <a:xfrm>
                        <a:off x="2623595" y="2015987"/>
                        <a:ext cx="3871253" cy="0"/>
                      </a:xfrm>
                      <a:prstGeom prst="straightConnector1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dash"/>
                        <a:round/>
                        <a:headEnd type="arrow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43" name="Gerade Verbindung mit Pfeil 42"/>
                      <a:cNvCxnSpPr>
                        <a:stCxn id="6" idx="3"/>
                        <a:endCxn id="7" idx="1"/>
                      </a:cNvCxnSpPr>
                    </a:nvCxnSpPr>
                    <a:spPr bwMode="auto">
                      <a:xfrm>
                        <a:off x="2123728" y="1151891"/>
                        <a:ext cx="4883404" cy="0"/>
                      </a:xfrm>
                      <a:prstGeom prst="straightConnector1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dash"/>
                        <a:round/>
                        <a:headEnd type="arrow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55" name="Gewinkelte Verbindung 54"/>
                      <a:cNvCxnSpPr/>
                    </a:nvCxnSpPr>
                    <a:spPr bwMode="auto">
                      <a:xfrm rot="16200000" flipH="1">
                        <a:off x="2491445" y="2276579"/>
                        <a:ext cx="408313" cy="144012"/>
                      </a:xfrm>
                      <a:prstGeom prst="bentConnector3">
                        <a:avLst>
                          <a:gd name="adj1" fmla="val -155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60" name="Gewinkelte Verbindung 59"/>
                      <a:cNvCxnSpPr/>
                    </a:nvCxnSpPr>
                    <a:spPr bwMode="auto">
                      <a:xfrm rot="16200000" flipH="1">
                        <a:off x="2963685" y="3140538"/>
                        <a:ext cx="408313" cy="144012"/>
                      </a:xfrm>
                      <a:prstGeom prst="bentConnector3">
                        <a:avLst>
                          <a:gd name="adj1" fmla="val -155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61" name="Gewinkelte Verbindung 60"/>
                      <a:cNvCxnSpPr/>
                    </a:nvCxnSpPr>
                    <a:spPr bwMode="auto">
                      <a:xfrm rot="16200000" flipH="1">
                        <a:off x="3450787" y="4008074"/>
                        <a:ext cx="408313" cy="144012"/>
                      </a:xfrm>
                      <a:prstGeom prst="bentConnector3">
                        <a:avLst>
                          <a:gd name="adj1" fmla="val -155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64" name="Gerade Verbindung mit Pfeil 63"/>
                      <a:cNvCxnSpPr/>
                    </a:nvCxnSpPr>
                    <a:spPr bwMode="auto">
                      <a:xfrm>
                        <a:off x="173303" y="5956699"/>
                        <a:ext cx="3822633" cy="0"/>
                      </a:xfrm>
                      <a:prstGeom prst="straightConnector1">
                        <a:avLst/>
                      </a:prstGeom>
                      <a:solidFill>
                        <a:schemeClr val="bg2"/>
                      </a:solidFill>
                      <a:ln w="1587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triangle" w="lg" len="med"/>
                        <a:tailEnd type="triangle" w="lg" len="med"/>
                      </a:ln>
                      <a:effectLst/>
                    </a:spPr>
                  </a:cxnSp>
                  <a:sp>
                    <a:nvSpPr>
                      <a:cNvPr id="33" name="Rechteck 32"/>
                      <a:cNvSpPr/>
                    </a:nvSpPr>
                    <a:spPr bwMode="auto">
                      <a:xfrm>
                        <a:off x="3311860" y="5157192"/>
                        <a:ext cx="1944216" cy="648072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220663" algn="ctr"/>
                          <a:r>
                            <a:rPr lang="de-DE" sz="1600" dirty="0" smtClean="0">
                              <a:latin typeface="Arial"/>
                              <a:cs typeface="Arial"/>
                            </a:rPr>
                            <a:t>Implementierung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4" name="Gewinkelte Verbindung 33"/>
                      <a:cNvCxnSpPr/>
                    </a:nvCxnSpPr>
                    <a:spPr bwMode="auto">
                      <a:xfrm rot="16200000" flipH="1">
                        <a:off x="3935794" y="4862906"/>
                        <a:ext cx="408313" cy="144012"/>
                      </a:xfrm>
                      <a:prstGeom prst="bentConnector3">
                        <a:avLst>
                          <a:gd name="adj1" fmla="val -155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36" name="Gewinkelte Verbindung 35"/>
                      <a:cNvCxnSpPr/>
                    </a:nvCxnSpPr>
                    <a:spPr bwMode="auto">
                      <a:xfrm rot="10800000">
                        <a:off x="3089942" y="4927173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38" name="Gewinkelte Verbindung 37"/>
                      <a:cNvCxnSpPr/>
                    </a:nvCxnSpPr>
                    <a:spPr bwMode="auto">
                      <a:xfrm rot="10800000" flipH="1">
                        <a:off x="5256076" y="4914500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39" name="Gewinkelte Verbindung 38"/>
                      <a:cNvCxnSpPr/>
                    </a:nvCxnSpPr>
                    <a:spPr bwMode="auto">
                      <a:xfrm rot="10800000" flipH="1">
                        <a:off x="6444208" y="4041067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40" name="Gewinkelte Verbindung 39"/>
                      <a:cNvCxnSpPr/>
                    </a:nvCxnSpPr>
                    <a:spPr bwMode="auto">
                      <a:xfrm rot="10800000" flipH="1">
                        <a:off x="8460432" y="1484784"/>
                        <a:ext cx="216024" cy="540060"/>
                      </a:xfrm>
                      <a:prstGeom prst="bentConnector2">
                        <a:avLst/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cxnSp>
                    <a:nvCxnSpPr>
                      <a:cNvPr id="42" name="Gewinkelte Verbindung 41"/>
                      <a:cNvCxnSpPr/>
                    </a:nvCxnSpPr>
                    <a:spPr bwMode="auto">
                      <a:xfrm rot="5400000" flipH="1" flipV="1">
                        <a:off x="6218566" y="2934089"/>
                        <a:ext cx="1404156" cy="216024"/>
                      </a:xfrm>
                      <a:prstGeom prst="bentConnector3">
                        <a:avLst>
                          <a:gd name="adj1" fmla="val 1159"/>
                        </a:avLst>
                      </a:prstGeom>
                      <a:solidFill>
                        <a:schemeClr val="bg2"/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 w="med" len="med"/>
                      </a:ln>
                      <a:effectLst/>
                    </a:spPr>
                  </a:cxnSp>
                  <a:sp>
                    <a:nvSpPr>
                      <a:cNvPr id="20" name="Textfeld 19"/>
                      <a:cNvSpPr txBox="1"/>
                    </a:nvSpPr>
                    <a:spPr>
                      <a:xfrm>
                        <a:off x="7380312" y="1252140"/>
                        <a:ext cx="1079142" cy="2585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de-DE" sz="1200" dirty="0" smtClean="0">
                              <a:latin typeface="+mj-lt"/>
                            </a:rPr>
                            <a:t>30.01.2014</a:t>
                          </a:r>
                          <a:endParaRPr lang="de-DE" sz="1200" baseline="0" dirty="0" smtClean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Textfeld 47"/>
                      <a:cNvSpPr txBox="1"/>
                    </a:nvSpPr>
                    <a:spPr>
                      <a:xfrm>
                        <a:off x="559579" y="1248480"/>
                        <a:ext cx="1079142" cy="2585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90000"/>
                            </a:lnSpc>
                            <a:spcBef>
                              <a:spcPct val="5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5000"/>
                            <a:buFont typeface="Wingdings" charset="2"/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pitchFamily="2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DE" sz="1200" dirty="0" smtClean="0">
                              <a:latin typeface="+mj-lt"/>
                            </a:rPr>
                            <a:t>11.11.2013</a:t>
                          </a:r>
                          <a:endParaRPr lang="de-DE" sz="1200" baseline="0" dirty="0" smtClean="0">
                            <a:latin typeface="+mj-lt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34FA84F4" w14:textId="77777777" w:rsidR="00361723" w:rsidRPr="00A65B73" w:rsidRDefault="00361723" w:rsidP="00FC3AC2">
      <w:pPr>
        <w:jc w:val="left"/>
      </w:pPr>
      <w:r>
        <w:t>Der Softwareentwicklungsprozess basiert im Rahmen des SEP auf dem angepassten V-Modell. Die Projektmappe ist entsprechend den Phasen des V-Modells aufgebaut. Jede Phase wird Schritt für Schritt im Verlaufe der Veranstaltung bearbeitet und dokumentiert.</w:t>
      </w:r>
    </w:p>
    <w:p w14:paraId="09CB5A5D" w14:textId="77777777" w:rsidR="00A65B73" w:rsidRDefault="005E1526" w:rsidP="00FC3AC2">
      <w:pPr>
        <w:pStyle w:val="berschrift1"/>
      </w:pPr>
      <w:bookmarkStart w:id="2" w:name="_Toc371602150"/>
      <w:r w:rsidRPr="00186151">
        <w:lastRenderedPageBreak/>
        <w:t>Anforderung</w:t>
      </w:r>
      <w:r w:rsidR="00FC3AC2">
        <w:t>sdefinition</w:t>
      </w:r>
      <w:bookmarkEnd w:id="2"/>
    </w:p>
    <w:p w14:paraId="59564D78" w14:textId="77777777" w:rsidR="0051422A" w:rsidRDefault="00F55849" w:rsidP="00FC3AC2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3" w:name="_Ref306001441"/>
      <w:bookmarkStart w:id="4" w:name="_Ref306003635"/>
      <w:bookmarkStart w:id="5" w:name="_Ref306003662"/>
      <w:bookmarkStart w:id="6" w:name="_Toc371602151"/>
      <w:r>
        <w:t>Ziel</w:t>
      </w:r>
      <w:r w:rsidR="004C1769">
        <w:t>modell</w:t>
      </w:r>
      <w:bookmarkEnd w:id="3"/>
      <w:bookmarkEnd w:id="4"/>
      <w:bookmarkEnd w:id="5"/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9"/>
        <w:gridCol w:w="1159"/>
        <w:gridCol w:w="1159"/>
        <w:gridCol w:w="1159"/>
        <w:gridCol w:w="1145"/>
        <w:gridCol w:w="1159"/>
        <w:gridCol w:w="1127"/>
        <w:gridCol w:w="1471"/>
      </w:tblGrid>
      <w:tr w:rsidR="000E08E5" w14:paraId="05BBACF4" w14:textId="77777777" w:rsidTr="000E08E5">
        <w:tc>
          <w:tcPr>
            <w:tcW w:w="1151" w:type="dxa"/>
          </w:tcPr>
          <w:p w14:paraId="5EE6CA76" w14:textId="77777777" w:rsidR="000E08E5" w:rsidRDefault="000E08E5" w:rsidP="00FC3AC2">
            <w:pPr>
              <w:jc w:val="left"/>
            </w:pPr>
          </w:p>
        </w:tc>
        <w:tc>
          <w:tcPr>
            <w:tcW w:w="1151" w:type="dxa"/>
            <w:vAlign w:val="center"/>
          </w:tcPr>
          <w:p w14:paraId="56F1F0D9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Kurze und prägnante Formulierung</w:t>
            </w:r>
          </w:p>
        </w:tc>
        <w:tc>
          <w:tcPr>
            <w:tcW w:w="1151" w:type="dxa"/>
            <w:vAlign w:val="center"/>
          </w:tcPr>
          <w:p w14:paraId="1AB1A8D3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in Aktivsätzen</w:t>
            </w:r>
          </w:p>
        </w:tc>
        <w:tc>
          <w:tcPr>
            <w:tcW w:w="1151" w:type="dxa"/>
            <w:vAlign w:val="center"/>
          </w:tcPr>
          <w:p w14:paraId="2CA66106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 xml:space="preserve">Möglichst Formulierung von </w:t>
            </w:r>
            <w:proofErr w:type="spellStart"/>
            <w:r w:rsidRPr="000E08E5">
              <w:rPr>
                <w:sz w:val="16"/>
              </w:rPr>
              <w:t>Hardgoals</w:t>
            </w:r>
            <w:proofErr w:type="spellEnd"/>
          </w:p>
        </w:tc>
        <w:tc>
          <w:tcPr>
            <w:tcW w:w="1152" w:type="dxa"/>
            <w:vAlign w:val="center"/>
          </w:tcPr>
          <w:p w14:paraId="05E4E9C4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Verfeinerung von S</w:t>
            </w:r>
            <w:r w:rsidR="00FE06ED" w:rsidRPr="000E08E5">
              <w:rPr>
                <w:sz w:val="16"/>
              </w:rPr>
              <w:t>oftgoals</w:t>
            </w:r>
          </w:p>
        </w:tc>
        <w:tc>
          <w:tcPr>
            <w:tcW w:w="1152" w:type="dxa"/>
            <w:vAlign w:val="center"/>
          </w:tcPr>
          <w:p w14:paraId="39E8BBBA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des Mehrwerts eines Ziels</w:t>
            </w:r>
          </w:p>
        </w:tc>
        <w:tc>
          <w:tcPr>
            <w:tcW w:w="1152" w:type="dxa"/>
            <w:vAlign w:val="center"/>
          </w:tcPr>
          <w:p w14:paraId="307698E7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Begründung des Ziels</w:t>
            </w:r>
          </w:p>
        </w:tc>
        <w:tc>
          <w:tcPr>
            <w:tcW w:w="1152" w:type="dxa"/>
            <w:vAlign w:val="center"/>
          </w:tcPr>
          <w:p w14:paraId="50D49096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</w:t>
            </w:r>
            <w:r w:rsidR="00FE06ED" w:rsidRPr="000E08E5">
              <w:rPr>
                <w:sz w:val="16"/>
              </w:rPr>
              <w:t>ermeidung von Lösungsansätzen</w:t>
            </w:r>
          </w:p>
        </w:tc>
      </w:tr>
      <w:tr w:rsidR="000E08E5" w14:paraId="4D01E3CB" w14:textId="77777777" w:rsidTr="00D2514E">
        <w:trPr>
          <w:trHeight w:val="278"/>
        </w:trPr>
        <w:tc>
          <w:tcPr>
            <w:tcW w:w="1151" w:type="dxa"/>
          </w:tcPr>
          <w:p w14:paraId="0BE6B3AF" w14:textId="77777777" w:rsidR="000E08E5" w:rsidRDefault="000E08E5" w:rsidP="00FC3AC2">
            <w:pPr>
              <w:jc w:val="left"/>
            </w:pPr>
            <w:r>
              <w:t>Ziel 1</w:t>
            </w:r>
          </w:p>
        </w:tc>
        <w:tc>
          <w:tcPr>
            <w:tcW w:w="1151" w:type="dxa"/>
            <w:shd w:val="clear" w:color="auto" w:fill="00B050"/>
          </w:tcPr>
          <w:p w14:paraId="2C87E60A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7490E093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75046A86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45779216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172C3621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16254531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2EDC1AEE" w14:textId="77777777" w:rsidR="000E08E5" w:rsidRDefault="000E08E5" w:rsidP="00FC3AC2">
            <w:pPr>
              <w:jc w:val="left"/>
            </w:pPr>
          </w:p>
        </w:tc>
      </w:tr>
      <w:tr w:rsidR="000E08E5" w14:paraId="4D4E06D9" w14:textId="77777777" w:rsidTr="00D2514E">
        <w:tc>
          <w:tcPr>
            <w:tcW w:w="1151" w:type="dxa"/>
          </w:tcPr>
          <w:p w14:paraId="5C8CB996" w14:textId="77777777" w:rsidR="000E08E5" w:rsidRDefault="00D2514E" w:rsidP="00D2514E">
            <w:r>
              <w:t>Ziel 2</w:t>
            </w:r>
          </w:p>
        </w:tc>
        <w:tc>
          <w:tcPr>
            <w:tcW w:w="1151" w:type="dxa"/>
            <w:shd w:val="clear" w:color="auto" w:fill="00B050"/>
          </w:tcPr>
          <w:p w14:paraId="1DB89D57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4E78D105" w14:textId="77777777" w:rsidR="000E08E5" w:rsidRPr="00D2514E" w:rsidRDefault="000E08E5" w:rsidP="00FC3AC2">
            <w:pPr>
              <w:jc w:val="left"/>
              <w:rPr>
                <w:color w:val="00B050"/>
                <w:highlight w:val="green"/>
              </w:rPr>
            </w:pPr>
          </w:p>
        </w:tc>
        <w:tc>
          <w:tcPr>
            <w:tcW w:w="1151" w:type="dxa"/>
            <w:shd w:val="clear" w:color="auto" w:fill="00B050"/>
          </w:tcPr>
          <w:p w14:paraId="0BF7926C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33B8F866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A1E3F9D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57B4CB7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763AEAC9" w14:textId="77777777" w:rsidR="000E08E5" w:rsidRDefault="000E08E5" w:rsidP="00FC3AC2">
            <w:pPr>
              <w:jc w:val="left"/>
            </w:pPr>
          </w:p>
        </w:tc>
      </w:tr>
      <w:tr w:rsidR="000E08E5" w14:paraId="6CBB66DD" w14:textId="77777777" w:rsidTr="001D446F">
        <w:tc>
          <w:tcPr>
            <w:tcW w:w="1151" w:type="dxa"/>
          </w:tcPr>
          <w:p w14:paraId="456986FA" w14:textId="77777777" w:rsidR="00D2514E" w:rsidRDefault="000E08E5" w:rsidP="00FC3AC2">
            <w:pPr>
              <w:jc w:val="left"/>
            </w:pPr>
            <w:r>
              <w:t xml:space="preserve">Ziel </w:t>
            </w:r>
            <w:r w:rsidR="00D2514E">
              <w:t>3</w:t>
            </w:r>
          </w:p>
        </w:tc>
        <w:tc>
          <w:tcPr>
            <w:tcW w:w="1151" w:type="dxa"/>
            <w:shd w:val="clear" w:color="auto" w:fill="00B050"/>
          </w:tcPr>
          <w:p w14:paraId="7C6BFDFB" w14:textId="77777777" w:rsidR="000E08E5" w:rsidRDefault="000E08E5" w:rsidP="00FC3AC2">
            <w:pPr>
              <w:jc w:val="left"/>
            </w:pPr>
          </w:p>
        </w:tc>
        <w:tc>
          <w:tcPr>
            <w:tcW w:w="1151" w:type="dxa"/>
            <w:shd w:val="clear" w:color="auto" w:fill="00B050"/>
          </w:tcPr>
          <w:p w14:paraId="55FB8C3B" w14:textId="77777777" w:rsidR="000E08E5" w:rsidRDefault="000E08E5" w:rsidP="00FC3AC2">
            <w:pPr>
              <w:jc w:val="left"/>
            </w:pPr>
          </w:p>
        </w:tc>
        <w:tc>
          <w:tcPr>
            <w:tcW w:w="1151" w:type="dxa"/>
            <w:shd w:val="clear" w:color="auto" w:fill="00B050"/>
          </w:tcPr>
          <w:p w14:paraId="2E3F8BA0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6DC4AF2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C340D3D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53ECC981" w14:textId="77777777" w:rsidR="000E08E5" w:rsidRDefault="000E08E5" w:rsidP="00FC3AC2">
            <w:pPr>
              <w:jc w:val="left"/>
            </w:pPr>
          </w:p>
        </w:tc>
        <w:tc>
          <w:tcPr>
            <w:tcW w:w="1152" w:type="dxa"/>
            <w:shd w:val="clear" w:color="auto" w:fill="00B050"/>
          </w:tcPr>
          <w:p w14:paraId="3DFB4CBB" w14:textId="77777777" w:rsidR="000E08E5" w:rsidRDefault="000E08E5" w:rsidP="00FC3AC2">
            <w:pPr>
              <w:jc w:val="left"/>
            </w:pPr>
          </w:p>
        </w:tc>
      </w:tr>
    </w:tbl>
    <w:p w14:paraId="6C6630AE" w14:textId="77777777" w:rsidR="0051422A" w:rsidRPr="0051422A" w:rsidRDefault="0051422A" w:rsidP="00FC3AC2">
      <w:pPr>
        <w:jc w:val="left"/>
      </w:pPr>
    </w:p>
    <w:p w14:paraId="276681EB" w14:textId="77777777" w:rsidR="007C272E" w:rsidRDefault="004C6E0B" w:rsidP="007C272E">
      <w:pPr>
        <w:pStyle w:val="berschrift2"/>
        <w:tabs>
          <w:tab w:val="num" w:pos="567"/>
        </w:tabs>
        <w:ind w:left="567"/>
        <w:jc w:val="left"/>
      </w:pPr>
      <w:bookmarkStart w:id="7" w:name="_Ref292044033"/>
      <w:bookmarkStart w:id="8" w:name="_Toc371602152"/>
      <w:bookmarkStart w:id="9" w:name="_Ref161730684"/>
      <w:r>
        <w:t>Szenarien</w:t>
      </w:r>
      <w:bookmarkEnd w:id="7"/>
      <w:bookmarkEnd w:id="8"/>
    </w:p>
    <w:p w14:paraId="58E2B727" w14:textId="77777777" w:rsidR="000E08E5" w:rsidRPr="0051422A" w:rsidRDefault="000E08E5" w:rsidP="00FC3AC2">
      <w:pPr>
        <w:jc w:val="left"/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6"/>
        <w:gridCol w:w="560"/>
        <w:gridCol w:w="547"/>
        <w:gridCol w:w="671"/>
        <w:gridCol w:w="663"/>
        <w:gridCol w:w="664"/>
        <w:gridCol w:w="583"/>
        <w:gridCol w:w="765"/>
        <w:gridCol w:w="776"/>
        <w:gridCol w:w="636"/>
        <w:gridCol w:w="616"/>
        <w:gridCol w:w="793"/>
        <w:gridCol w:w="709"/>
      </w:tblGrid>
      <w:tr w:rsidR="005141F6" w14:paraId="719605E2" w14:textId="77777777" w:rsidTr="0015328A">
        <w:trPr>
          <w:cantSplit/>
          <w:trHeight w:val="2025"/>
        </w:trPr>
        <w:tc>
          <w:tcPr>
            <w:tcW w:w="1226" w:type="dxa"/>
          </w:tcPr>
          <w:p w14:paraId="227AA2FF" w14:textId="77777777" w:rsidR="005141F6" w:rsidRDefault="005141F6" w:rsidP="0015328A">
            <w:pPr>
              <w:jc w:val="left"/>
            </w:pPr>
          </w:p>
        </w:tc>
        <w:tc>
          <w:tcPr>
            <w:tcW w:w="560" w:type="dxa"/>
            <w:textDirection w:val="btLr"/>
            <w:vAlign w:val="center"/>
          </w:tcPr>
          <w:p w14:paraId="55CBE4B5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Gegenwartsform</w:t>
            </w:r>
          </w:p>
        </w:tc>
        <w:tc>
          <w:tcPr>
            <w:tcW w:w="547" w:type="dxa"/>
            <w:textDirection w:val="btLr"/>
            <w:vAlign w:val="center"/>
          </w:tcPr>
          <w:p w14:paraId="0A11C5F4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Aktivform</w:t>
            </w:r>
          </w:p>
        </w:tc>
        <w:tc>
          <w:tcPr>
            <w:tcW w:w="671" w:type="dxa"/>
            <w:textDirection w:val="btLr"/>
            <w:vAlign w:val="center"/>
          </w:tcPr>
          <w:p w14:paraId="66E3DF14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Formulierung nach Subjekt, Prädikat, Objekt</w:t>
            </w:r>
          </w:p>
        </w:tc>
        <w:tc>
          <w:tcPr>
            <w:tcW w:w="663" w:type="dxa"/>
            <w:textDirection w:val="btLr"/>
            <w:vAlign w:val="center"/>
          </w:tcPr>
          <w:p w14:paraId="4EF2005F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Modalverben</w:t>
            </w:r>
          </w:p>
          <w:p w14:paraId="35050AE3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64" w:type="dxa"/>
            <w:textDirection w:val="btLr"/>
            <w:vAlign w:val="center"/>
          </w:tcPr>
          <w:p w14:paraId="1D7F8028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Deutliche Trennung von Interaktionen</w:t>
            </w:r>
          </w:p>
        </w:tc>
        <w:tc>
          <w:tcPr>
            <w:tcW w:w="583" w:type="dxa"/>
            <w:textDirection w:val="btLr"/>
            <w:vAlign w:val="center"/>
          </w:tcPr>
          <w:p w14:paraId="3F644244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Pro Interaktion ein Satz</w:t>
            </w:r>
          </w:p>
          <w:p w14:paraId="044F0C57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65" w:type="dxa"/>
            <w:textDirection w:val="btLr"/>
            <w:vAlign w:val="center"/>
          </w:tcPr>
          <w:p w14:paraId="67990CB7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 xml:space="preserve">Nummerierung der </w:t>
            </w:r>
            <w:proofErr w:type="spellStart"/>
            <w:r w:rsidRPr="0089790D">
              <w:rPr>
                <w:sz w:val="16"/>
              </w:rPr>
              <w:t>Szenarioschritte</w:t>
            </w:r>
            <w:proofErr w:type="spellEnd"/>
          </w:p>
          <w:p w14:paraId="7589C1A3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76" w:type="dxa"/>
            <w:textDirection w:val="btLr"/>
            <w:vAlign w:val="center"/>
          </w:tcPr>
          <w:p w14:paraId="40D67F67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Nur eine Interaktionsfolge pro Szenario</w:t>
            </w:r>
          </w:p>
          <w:p w14:paraId="7FE26F8D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36" w:type="dxa"/>
            <w:textDirection w:val="btLr"/>
            <w:vAlign w:val="center"/>
          </w:tcPr>
          <w:p w14:paraId="2CDE6BF6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unnötigen Details</w:t>
            </w:r>
          </w:p>
          <w:p w14:paraId="6BE07A08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16" w:type="dxa"/>
            <w:textDirection w:val="btLr"/>
            <w:vAlign w:val="center"/>
          </w:tcPr>
          <w:p w14:paraId="1DB6718E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von beteiligten Akteuren</w:t>
            </w:r>
          </w:p>
          <w:p w14:paraId="7B2F16BF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93" w:type="dxa"/>
            <w:textDirection w:val="btLr"/>
            <w:vAlign w:val="center"/>
          </w:tcPr>
          <w:p w14:paraId="58888623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der/des zu erfüllenden Ziele/Ziels</w:t>
            </w:r>
          </w:p>
          <w:p w14:paraId="088EC429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8080B65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Fokus auf Erfüllung/Nicht-Erfüllung des Ziels</w:t>
            </w:r>
          </w:p>
          <w:p w14:paraId="17AA0BDE" w14:textId="77777777" w:rsidR="005141F6" w:rsidRPr="0089790D" w:rsidRDefault="005141F6" w:rsidP="0015328A">
            <w:pPr>
              <w:ind w:left="113" w:right="113"/>
              <w:jc w:val="left"/>
              <w:rPr>
                <w:sz w:val="16"/>
              </w:rPr>
            </w:pPr>
          </w:p>
        </w:tc>
      </w:tr>
      <w:tr w:rsidR="005141F6" w14:paraId="2B9232D9" w14:textId="77777777" w:rsidTr="0015328A">
        <w:tc>
          <w:tcPr>
            <w:tcW w:w="1226" w:type="dxa"/>
          </w:tcPr>
          <w:p w14:paraId="236C9ED2" w14:textId="77777777" w:rsidR="005141F6" w:rsidRDefault="005141F6" w:rsidP="0015328A">
            <w:pPr>
              <w:jc w:val="left"/>
            </w:pPr>
            <w:r>
              <w:t>Szenario 1</w:t>
            </w:r>
          </w:p>
        </w:tc>
        <w:tc>
          <w:tcPr>
            <w:tcW w:w="560" w:type="dxa"/>
            <w:shd w:val="clear" w:color="auto" w:fill="00B050"/>
          </w:tcPr>
          <w:p w14:paraId="1915B189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7048A70A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2E3D1568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786B0A79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00B050"/>
          </w:tcPr>
          <w:p w14:paraId="3D7DC00A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1C3D11AF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6DDC1614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2F47DD40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72FFADF3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55C12AFA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6E9AA1A4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3D381534" w14:textId="77777777" w:rsidR="005141F6" w:rsidRDefault="005141F6" w:rsidP="0015328A">
            <w:pPr>
              <w:jc w:val="left"/>
            </w:pPr>
          </w:p>
        </w:tc>
      </w:tr>
      <w:tr w:rsidR="005141F6" w14:paraId="55F13BF2" w14:textId="77777777" w:rsidTr="0015328A">
        <w:tc>
          <w:tcPr>
            <w:tcW w:w="1226" w:type="dxa"/>
          </w:tcPr>
          <w:p w14:paraId="22B58933" w14:textId="77777777" w:rsidR="005141F6" w:rsidRDefault="005141F6" w:rsidP="0015328A">
            <w:pPr>
              <w:jc w:val="left"/>
            </w:pPr>
            <w:r>
              <w:t>Szenario 2</w:t>
            </w:r>
          </w:p>
        </w:tc>
        <w:tc>
          <w:tcPr>
            <w:tcW w:w="560" w:type="dxa"/>
            <w:shd w:val="clear" w:color="auto" w:fill="00B050"/>
          </w:tcPr>
          <w:p w14:paraId="295D1F41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7484BD27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23597862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3A6BFAC7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FF0000"/>
          </w:tcPr>
          <w:p w14:paraId="5B808074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FF0000"/>
          </w:tcPr>
          <w:p w14:paraId="6BCCCC03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2ABB822E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767DF88C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59B50AE5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116FCCBC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090DFE19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78D9C897" w14:textId="77777777" w:rsidR="005141F6" w:rsidRDefault="005141F6" w:rsidP="0015328A">
            <w:pPr>
              <w:jc w:val="left"/>
            </w:pPr>
          </w:p>
        </w:tc>
      </w:tr>
      <w:tr w:rsidR="005141F6" w14:paraId="5932EA22" w14:textId="77777777" w:rsidTr="0015328A">
        <w:trPr>
          <w:trHeight w:val="156"/>
        </w:trPr>
        <w:tc>
          <w:tcPr>
            <w:tcW w:w="1226" w:type="dxa"/>
          </w:tcPr>
          <w:p w14:paraId="22958CC1" w14:textId="77777777" w:rsidR="005141F6" w:rsidRDefault="005141F6" w:rsidP="0015328A">
            <w:pPr>
              <w:jc w:val="left"/>
            </w:pPr>
            <w:r>
              <w:t>Szenario 3</w:t>
            </w:r>
          </w:p>
        </w:tc>
        <w:tc>
          <w:tcPr>
            <w:tcW w:w="560" w:type="dxa"/>
            <w:shd w:val="clear" w:color="auto" w:fill="00B050"/>
          </w:tcPr>
          <w:p w14:paraId="5E4599C9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2F298D69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6822C35E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18ADDF44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00B050"/>
          </w:tcPr>
          <w:p w14:paraId="615AFFAE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7B0F9717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2024483D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2AF421CE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72C1A6E9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0A2D3900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03F06E53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39C517E8" w14:textId="77777777" w:rsidR="005141F6" w:rsidRDefault="005141F6" w:rsidP="0015328A">
            <w:pPr>
              <w:jc w:val="left"/>
            </w:pPr>
          </w:p>
        </w:tc>
      </w:tr>
      <w:tr w:rsidR="005141F6" w14:paraId="2D84D94B" w14:textId="77777777" w:rsidTr="0015328A">
        <w:trPr>
          <w:trHeight w:val="202"/>
        </w:trPr>
        <w:tc>
          <w:tcPr>
            <w:tcW w:w="1226" w:type="dxa"/>
          </w:tcPr>
          <w:p w14:paraId="114D05CD" w14:textId="77777777" w:rsidR="005141F6" w:rsidRDefault="005141F6" w:rsidP="0015328A">
            <w:pPr>
              <w:jc w:val="left"/>
            </w:pPr>
            <w:r>
              <w:t>Szenario 4</w:t>
            </w:r>
          </w:p>
        </w:tc>
        <w:tc>
          <w:tcPr>
            <w:tcW w:w="560" w:type="dxa"/>
            <w:shd w:val="clear" w:color="auto" w:fill="00B050"/>
          </w:tcPr>
          <w:p w14:paraId="52E44F15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1BBAA8A8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62E4E835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02AD156B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00B050"/>
          </w:tcPr>
          <w:p w14:paraId="451B6D62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48401555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5D7F285B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723C1A06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06BF58C3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75BCD8A0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00B050"/>
          </w:tcPr>
          <w:p w14:paraId="68CF5D45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763A16AD" w14:textId="77777777" w:rsidR="005141F6" w:rsidRDefault="005141F6" w:rsidP="0015328A">
            <w:pPr>
              <w:jc w:val="left"/>
            </w:pPr>
          </w:p>
        </w:tc>
      </w:tr>
      <w:tr w:rsidR="005141F6" w14:paraId="75A4BAB1" w14:textId="77777777" w:rsidTr="0015328A">
        <w:trPr>
          <w:trHeight w:val="136"/>
        </w:trPr>
        <w:tc>
          <w:tcPr>
            <w:tcW w:w="1226" w:type="dxa"/>
          </w:tcPr>
          <w:p w14:paraId="5C90E231" w14:textId="77777777" w:rsidR="005141F6" w:rsidRDefault="005141F6" w:rsidP="0015328A">
            <w:pPr>
              <w:jc w:val="left"/>
            </w:pPr>
            <w:r>
              <w:t>Szenario 5</w:t>
            </w:r>
          </w:p>
        </w:tc>
        <w:tc>
          <w:tcPr>
            <w:tcW w:w="560" w:type="dxa"/>
            <w:shd w:val="clear" w:color="auto" w:fill="00B050"/>
          </w:tcPr>
          <w:p w14:paraId="3D426ABC" w14:textId="77777777" w:rsidR="005141F6" w:rsidRDefault="005141F6" w:rsidP="0015328A">
            <w:pPr>
              <w:jc w:val="left"/>
            </w:pPr>
          </w:p>
        </w:tc>
        <w:tc>
          <w:tcPr>
            <w:tcW w:w="547" w:type="dxa"/>
            <w:shd w:val="clear" w:color="auto" w:fill="00B050"/>
          </w:tcPr>
          <w:p w14:paraId="38058E95" w14:textId="77777777" w:rsidR="005141F6" w:rsidRDefault="005141F6" w:rsidP="0015328A">
            <w:pPr>
              <w:jc w:val="left"/>
            </w:pPr>
          </w:p>
        </w:tc>
        <w:tc>
          <w:tcPr>
            <w:tcW w:w="671" w:type="dxa"/>
            <w:shd w:val="clear" w:color="auto" w:fill="00B050"/>
          </w:tcPr>
          <w:p w14:paraId="483BAD44" w14:textId="77777777" w:rsidR="005141F6" w:rsidRDefault="005141F6" w:rsidP="0015328A">
            <w:pPr>
              <w:jc w:val="left"/>
            </w:pPr>
          </w:p>
        </w:tc>
        <w:tc>
          <w:tcPr>
            <w:tcW w:w="663" w:type="dxa"/>
            <w:shd w:val="clear" w:color="auto" w:fill="00B050"/>
          </w:tcPr>
          <w:p w14:paraId="3472D9F4" w14:textId="77777777" w:rsidR="005141F6" w:rsidRDefault="005141F6" w:rsidP="0015328A">
            <w:pPr>
              <w:jc w:val="left"/>
            </w:pPr>
          </w:p>
        </w:tc>
        <w:tc>
          <w:tcPr>
            <w:tcW w:w="664" w:type="dxa"/>
            <w:shd w:val="clear" w:color="auto" w:fill="FF0000"/>
          </w:tcPr>
          <w:p w14:paraId="35202DB9" w14:textId="77777777" w:rsidR="005141F6" w:rsidRDefault="005141F6" w:rsidP="0015328A">
            <w:pPr>
              <w:jc w:val="left"/>
            </w:pPr>
          </w:p>
        </w:tc>
        <w:tc>
          <w:tcPr>
            <w:tcW w:w="583" w:type="dxa"/>
            <w:shd w:val="clear" w:color="auto" w:fill="00B050"/>
          </w:tcPr>
          <w:p w14:paraId="2E86E202" w14:textId="77777777" w:rsidR="005141F6" w:rsidRDefault="005141F6" w:rsidP="0015328A">
            <w:pPr>
              <w:jc w:val="left"/>
            </w:pPr>
          </w:p>
        </w:tc>
        <w:tc>
          <w:tcPr>
            <w:tcW w:w="765" w:type="dxa"/>
            <w:shd w:val="clear" w:color="auto" w:fill="00B050"/>
          </w:tcPr>
          <w:p w14:paraId="07992B5D" w14:textId="77777777" w:rsidR="005141F6" w:rsidRDefault="005141F6" w:rsidP="0015328A">
            <w:pPr>
              <w:jc w:val="left"/>
            </w:pPr>
          </w:p>
        </w:tc>
        <w:tc>
          <w:tcPr>
            <w:tcW w:w="776" w:type="dxa"/>
            <w:shd w:val="clear" w:color="auto" w:fill="00B050"/>
          </w:tcPr>
          <w:p w14:paraId="1A2150F3" w14:textId="77777777" w:rsidR="005141F6" w:rsidRDefault="005141F6" w:rsidP="0015328A">
            <w:pPr>
              <w:jc w:val="left"/>
            </w:pPr>
          </w:p>
        </w:tc>
        <w:tc>
          <w:tcPr>
            <w:tcW w:w="636" w:type="dxa"/>
            <w:shd w:val="clear" w:color="auto" w:fill="00B050"/>
          </w:tcPr>
          <w:p w14:paraId="0B2B3CAB" w14:textId="77777777" w:rsidR="005141F6" w:rsidRDefault="005141F6" w:rsidP="0015328A">
            <w:pPr>
              <w:jc w:val="left"/>
            </w:pPr>
          </w:p>
        </w:tc>
        <w:tc>
          <w:tcPr>
            <w:tcW w:w="616" w:type="dxa"/>
            <w:shd w:val="clear" w:color="auto" w:fill="00B050"/>
          </w:tcPr>
          <w:p w14:paraId="14C31D0D" w14:textId="77777777" w:rsidR="005141F6" w:rsidRDefault="005141F6" w:rsidP="0015328A">
            <w:pPr>
              <w:jc w:val="left"/>
            </w:pPr>
          </w:p>
        </w:tc>
        <w:tc>
          <w:tcPr>
            <w:tcW w:w="793" w:type="dxa"/>
            <w:shd w:val="clear" w:color="auto" w:fill="FF0000"/>
          </w:tcPr>
          <w:p w14:paraId="1C3E46A7" w14:textId="77777777" w:rsidR="005141F6" w:rsidRDefault="005141F6" w:rsidP="0015328A">
            <w:pPr>
              <w:jc w:val="left"/>
            </w:pPr>
          </w:p>
        </w:tc>
        <w:tc>
          <w:tcPr>
            <w:tcW w:w="709" w:type="dxa"/>
            <w:shd w:val="clear" w:color="auto" w:fill="00B050"/>
          </w:tcPr>
          <w:p w14:paraId="1C2940B9" w14:textId="77777777" w:rsidR="005141F6" w:rsidRDefault="005141F6" w:rsidP="0015328A">
            <w:pPr>
              <w:jc w:val="left"/>
            </w:pPr>
          </w:p>
        </w:tc>
      </w:tr>
    </w:tbl>
    <w:p w14:paraId="0C992F68" w14:textId="77777777" w:rsidR="0051422A" w:rsidRPr="0051422A" w:rsidRDefault="0051422A" w:rsidP="00FC3AC2">
      <w:pPr>
        <w:jc w:val="left"/>
      </w:pPr>
    </w:p>
    <w:p w14:paraId="6BBC7342" w14:textId="77777777" w:rsidR="007C272E" w:rsidRDefault="003E7B35" w:rsidP="007C272E">
      <w:pPr>
        <w:pStyle w:val="berschrift2"/>
        <w:tabs>
          <w:tab w:val="num" w:pos="567"/>
        </w:tabs>
        <w:ind w:left="567"/>
        <w:jc w:val="left"/>
      </w:pPr>
      <w:bookmarkStart w:id="10" w:name="_Toc305757740"/>
      <w:bookmarkStart w:id="11" w:name="_Toc305757741"/>
      <w:bookmarkStart w:id="12" w:name="_Toc305757742"/>
      <w:bookmarkStart w:id="13" w:name="_Toc305757743"/>
      <w:bookmarkStart w:id="14" w:name="_Toc305757744"/>
      <w:bookmarkStart w:id="15" w:name="_Toc305757745"/>
      <w:bookmarkStart w:id="16" w:name="_Toc305757746"/>
      <w:bookmarkStart w:id="17" w:name="_Toc371420966"/>
      <w:bookmarkStart w:id="18" w:name="_Toc371421027"/>
      <w:bookmarkStart w:id="19" w:name="_Toc371421088"/>
      <w:bookmarkStart w:id="20" w:name="_Toc371421149"/>
      <w:bookmarkStart w:id="21" w:name="_Toc371421210"/>
      <w:bookmarkStart w:id="22" w:name="_Toc371421271"/>
      <w:bookmarkStart w:id="23" w:name="_Toc371421332"/>
      <w:bookmarkStart w:id="24" w:name="_Toc371420967"/>
      <w:bookmarkStart w:id="25" w:name="_Toc371421028"/>
      <w:bookmarkStart w:id="26" w:name="_Toc371421089"/>
      <w:bookmarkStart w:id="27" w:name="_Toc371421150"/>
      <w:bookmarkStart w:id="28" w:name="_Toc371421211"/>
      <w:bookmarkStart w:id="29" w:name="_Toc371421272"/>
      <w:bookmarkStart w:id="30" w:name="_Toc371421333"/>
      <w:bookmarkStart w:id="31" w:name="_Toc371420968"/>
      <w:bookmarkStart w:id="32" w:name="_Toc371421029"/>
      <w:bookmarkStart w:id="33" w:name="_Toc371421090"/>
      <w:bookmarkStart w:id="34" w:name="_Toc371421151"/>
      <w:bookmarkStart w:id="35" w:name="_Toc371421212"/>
      <w:bookmarkStart w:id="36" w:name="_Toc371421273"/>
      <w:bookmarkStart w:id="37" w:name="_Toc371421334"/>
      <w:bookmarkStart w:id="38" w:name="_Toc371420969"/>
      <w:bookmarkStart w:id="39" w:name="_Toc371421030"/>
      <w:bookmarkStart w:id="40" w:name="_Toc371421091"/>
      <w:bookmarkStart w:id="41" w:name="_Toc371421152"/>
      <w:bookmarkStart w:id="42" w:name="_Toc371421213"/>
      <w:bookmarkStart w:id="43" w:name="_Toc371421274"/>
      <w:bookmarkStart w:id="44" w:name="_Toc371421335"/>
      <w:bookmarkStart w:id="45" w:name="_Toc371420970"/>
      <w:bookmarkStart w:id="46" w:name="_Toc371421031"/>
      <w:bookmarkStart w:id="47" w:name="_Toc371421092"/>
      <w:bookmarkStart w:id="48" w:name="_Toc371421153"/>
      <w:bookmarkStart w:id="49" w:name="_Toc371421214"/>
      <w:bookmarkStart w:id="50" w:name="_Toc371421275"/>
      <w:bookmarkStart w:id="51" w:name="_Toc371421336"/>
      <w:bookmarkStart w:id="52" w:name="_Toc371420971"/>
      <w:bookmarkStart w:id="53" w:name="_Toc371421032"/>
      <w:bookmarkStart w:id="54" w:name="_Toc371421093"/>
      <w:bookmarkStart w:id="55" w:name="_Toc371421154"/>
      <w:bookmarkStart w:id="56" w:name="_Toc371421215"/>
      <w:bookmarkStart w:id="57" w:name="_Toc371421276"/>
      <w:bookmarkStart w:id="58" w:name="_Toc371421337"/>
      <w:bookmarkStart w:id="59" w:name="_Toc371420972"/>
      <w:bookmarkStart w:id="60" w:name="_Toc371421033"/>
      <w:bookmarkStart w:id="61" w:name="_Toc371421094"/>
      <w:bookmarkStart w:id="62" w:name="_Toc371421155"/>
      <w:bookmarkStart w:id="63" w:name="_Toc371421216"/>
      <w:bookmarkStart w:id="64" w:name="_Toc371421277"/>
      <w:bookmarkStart w:id="65" w:name="_Toc371421338"/>
      <w:bookmarkStart w:id="66" w:name="_Toc371420973"/>
      <w:bookmarkStart w:id="67" w:name="_Toc371421034"/>
      <w:bookmarkStart w:id="68" w:name="_Toc371421095"/>
      <w:bookmarkStart w:id="69" w:name="_Toc371421156"/>
      <w:bookmarkStart w:id="70" w:name="_Toc371421217"/>
      <w:bookmarkStart w:id="71" w:name="_Toc371421278"/>
      <w:bookmarkStart w:id="72" w:name="_Toc371421339"/>
      <w:bookmarkStart w:id="73" w:name="_Toc371420974"/>
      <w:bookmarkStart w:id="74" w:name="_Toc371421035"/>
      <w:bookmarkStart w:id="75" w:name="_Toc371421096"/>
      <w:bookmarkStart w:id="76" w:name="_Toc371421157"/>
      <w:bookmarkStart w:id="77" w:name="_Toc371421218"/>
      <w:bookmarkStart w:id="78" w:name="_Toc371421279"/>
      <w:bookmarkStart w:id="79" w:name="_Toc371421340"/>
      <w:bookmarkStart w:id="80" w:name="_Toc371420975"/>
      <w:bookmarkStart w:id="81" w:name="_Toc371421036"/>
      <w:bookmarkStart w:id="82" w:name="_Toc371421097"/>
      <w:bookmarkStart w:id="83" w:name="_Toc371421158"/>
      <w:bookmarkStart w:id="84" w:name="_Toc371421219"/>
      <w:bookmarkStart w:id="85" w:name="_Toc371421280"/>
      <w:bookmarkStart w:id="86" w:name="_Toc371421341"/>
      <w:bookmarkStart w:id="87" w:name="_Toc371420976"/>
      <w:bookmarkStart w:id="88" w:name="_Toc371421037"/>
      <w:bookmarkStart w:id="89" w:name="_Toc371421098"/>
      <w:bookmarkStart w:id="90" w:name="_Toc371421159"/>
      <w:bookmarkStart w:id="91" w:name="_Toc371421220"/>
      <w:bookmarkStart w:id="92" w:name="_Toc371421281"/>
      <w:bookmarkStart w:id="93" w:name="_Toc371421342"/>
      <w:bookmarkStart w:id="94" w:name="_Toc371420977"/>
      <w:bookmarkStart w:id="95" w:name="_Toc371421038"/>
      <w:bookmarkStart w:id="96" w:name="_Toc371421099"/>
      <w:bookmarkStart w:id="97" w:name="_Toc371421160"/>
      <w:bookmarkStart w:id="98" w:name="_Toc371421221"/>
      <w:bookmarkStart w:id="99" w:name="_Toc371421282"/>
      <w:bookmarkStart w:id="100" w:name="_Toc371421343"/>
      <w:bookmarkStart w:id="101" w:name="_Toc371420978"/>
      <w:bookmarkStart w:id="102" w:name="_Toc371421039"/>
      <w:bookmarkStart w:id="103" w:name="_Toc371421100"/>
      <w:bookmarkStart w:id="104" w:name="_Toc371421161"/>
      <w:bookmarkStart w:id="105" w:name="_Toc371421222"/>
      <w:bookmarkStart w:id="106" w:name="_Toc371421283"/>
      <w:bookmarkStart w:id="107" w:name="_Toc371421344"/>
      <w:bookmarkStart w:id="108" w:name="_Toc371420979"/>
      <w:bookmarkStart w:id="109" w:name="_Toc371421040"/>
      <w:bookmarkStart w:id="110" w:name="_Toc371421101"/>
      <w:bookmarkStart w:id="111" w:name="_Toc371421162"/>
      <w:bookmarkStart w:id="112" w:name="_Toc371421223"/>
      <w:bookmarkStart w:id="113" w:name="_Toc371421284"/>
      <w:bookmarkStart w:id="114" w:name="_Toc371421345"/>
      <w:bookmarkStart w:id="115" w:name="_Toc371420980"/>
      <w:bookmarkStart w:id="116" w:name="_Toc371421041"/>
      <w:bookmarkStart w:id="117" w:name="_Toc371421102"/>
      <w:bookmarkStart w:id="118" w:name="_Toc371421163"/>
      <w:bookmarkStart w:id="119" w:name="_Toc371421224"/>
      <w:bookmarkStart w:id="120" w:name="_Toc371421285"/>
      <w:bookmarkStart w:id="121" w:name="_Toc371421346"/>
      <w:bookmarkStart w:id="122" w:name="_Toc371420981"/>
      <w:bookmarkStart w:id="123" w:name="_Toc371421042"/>
      <w:bookmarkStart w:id="124" w:name="_Toc371421103"/>
      <w:bookmarkStart w:id="125" w:name="_Toc371421164"/>
      <w:bookmarkStart w:id="126" w:name="_Toc371421225"/>
      <w:bookmarkStart w:id="127" w:name="_Toc371421286"/>
      <w:bookmarkStart w:id="128" w:name="_Toc371421347"/>
      <w:bookmarkStart w:id="129" w:name="_Toc303353226"/>
      <w:bookmarkStart w:id="130" w:name="_Toc305757748"/>
      <w:bookmarkStart w:id="131" w:name="_Toc303353228"/>
      <w:bookmarkStart w:id="132" w:name="_Toc305757750"/>
      <w:bookmarkStart w:id="133" w:name="_Toc303353229"/>
      <w:bookmarkStart w:id="134" w:name="_Toc305757751"/>
      <w:bookmarkStart w:id="135" w:name="_Toc37160215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t>Kontextmodell</w:t>
      </w:r>
      <w:r w:rsidR="0011025C">
        <w:t xml:space="preserve"> / Spielmodell</w:t>
      </w:r>
      <w:bookmarkEnd w:id="135"/>
    </w:p>
    <w:p w14:paraId="379E99F2" w14:textId="77777777" w:rsidR="00A66643" w:rsidRDefault="00A66643" w:rsidP="00A66643">
      <w:pPr>
        <w:pStyle w:val="Listenabsatz"/>
        <w:numPr>
          <w:ilvl w:val="0"/>
          <w:numId w:val="43"/>
        </w:numPr>
      </w:pPr>
      <w:r>
        <w:t>Die Rolle des Benutzers ist dargestellt</w:t>
      </w:r>
    </w:p>
    <w:p w14:paraId="5A84B334" w14:textId="77777777" w:rsidR="00A66643" w:rsidRDefault="00A66643" w:rsidP="00A66643">
      <w:pPr>
        <w:pStyle w:val="Listenabsatz"/>
        <w:numPr>
          <w:ilvl w:val="0"/>
          <w:numId w:val="43"/>
        </w:numPr>
      </w:pPr>
      <w:r>
        <w:t xml:space="preserve">Das System wird als Blackbox </w:t>
      </w:r>
      <w:r w:rsidR="001F0BBA">
        <w:t>betrachtet</w:t>
      </w:r>
    </w:p>
    <w:p w14:paraId="2FDBA703" w14:textId="77777777" w:rsidR="00A66643" w:rsidRDefault="00A66643" w:rsidP="00A66643">
      <w:pPr>
        <w:pStyle w:val="Listenabsatz"/>
        <w:numPr>
          <w:ilvl w:val="0"/>
          <w:numId w:val="43"/>
        </w:numPr>
      </w:pPr>
      <w:r>
        <w:t>Es werden grundlegende Interaktionen zwischen Benutzer und System dargestellt</w:t>
      </w:r>
    </w:p>
    <w:p w14:paraId="18A2DEC1" w14:textId="77777777" w:rsidR="00A66643" w:rsidRPr="00A66643" w:rsidRDefault="00A66643" w:rsidP="00A66643">
      <w:pPr>
        <w:pStyle w:val="Listenabsatz"/>
      </w:pPr>
    </w:p>
    <w:p w14:paraId="3B486296" w14:textId="77777777" w:rsidR="00A66643" w:rsidRDefault="00184F7A" w:rsidP="00053E4F">
      <w:pPr>
        <w:pStyle w:val="berschrift1"/>
      </w:pPr>
      <w:bookmarkStart w:id="136" w:name="_Toc371420983"/>
      <w:bookmarkStart w:id="137" w:name="_Toc371421044"/>
      <w:bookmarkStart w:id="138" w:name="_Toc371421105"/>
      <w:bookmarkStart w:id="139" w:name="_Toc371421166"/>
      <w:bookmarkStart w:id="140" w:name="_Toc371421227"/>
      <w:bookmarkStart w:id="141" w:name="_Toc371421288"/>
      <w:bookmarkStart w:id="142" w:name="_Toc371421349"/>
      <w:bookmarkStart w:id="143" w:name="_Toc371420984"/>
      <w:bookmarkStart w:id="144" w:name="_Toc371421045"/>
      <w:bookmarkStart w:id="145" w:name="_Toc371421106"/>
      <w:bookmarkStart w:id="146" w:name="_Toc371421167"/>
      <w:bookmarkStart w:id="147" w:name="_Toc371421228"/>
      <w:bookmarkStart w:id="148" w:name="_Toc371421289"/>
      <w:bookmarkStart w:id="149" w:name="_Toc371421350"/>
      <w:bookmarkStart w:id="150" w:name="_Toc371420985"/>
      <w:bookmarkStart w:id="151" w:name="_Toc371421046"/>
      <w:bookmarkStart w:id="152" w:name="_Toc371421107"/>
      <w:bookmarkStart w:id="153" w:name="_Toc371421168"/>
      <w:bookmarkStart w:id="154" w:name="_Toc371421229"/>
      <w:bookmarkStart w:id="155" w:name="_Toc371421290"/>
      <w:bookmarkStart w:id="156" w:name="_Toc371421351"/>
      <w:bookmarkStart w:id="157" w:name="_Toc37160215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lastRenderedPageBreak/>
        <w:t>Logische</w:t>
      </w:r>
      <w:r w:rsidR="0097779F">
        <w:t>r</w:t>
      </w:r>
      <w:r>
        <w:t xml:space="preserve"> </w:t>
      </w:r>
      <w:r w:rsidR="00FC3AC2">
        <w:t>Architekturentwurf</w:t>
      </w:r>
      <w:bookmarkEnd w:id="157"/>
    </w:p>
    <w:p w14:paraId="62FAF17A" w14:textId="77777777" w:rsidR="007C272E" w:rsidRDefault="00E70DBC" w:rsidP="00A66643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58" w:name="_Toc303353236"/>
      <w:bookmarkStart w:id="159" w:name="_Toc305757764"/>
      <w:bookmarkStart w:id="160" w:name="_Ref292043925"/>
      <w:bookmarkStart w:id="161" w:name="_Ref292051526"/>
      <w:bookmarkStart w:id="162" w:name="_Toc371602155"/>
      <w:bookmarkEnd w:id="158"/>
      <w:bookmarkEnd w:id="159"/>
      <w:r>
        <w:t>Datenflussdiagramm</w:t>
      </w:r>
      <w:bookmarkEnd w:id="160"/>
      <w:bookmarkEnd w:id="161"/>
      <w:bookmarkEnd w:id="162"/>
    </w:p>
    <w:p w14:paraId="500EBF1E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Alle Terminatoren, Datenflüsse, Datenspeicher und Prozesse sind sinnvoll und verständlich benannt</w:t>
      </w:r>
    </w:p>
    <w:p w14:paraId="6326C73C" w14:textId="77777777" w:rsidR="002918E8" w:rsidRDefault="00FE06ED" w:rsidP="00FC3AC2">
      <w:pPr>
        <w:numPr>
          <w:ilvl w:val="0"/>
          <w:numId w:val="22"/>
        </w:numPr>
        <w:jc w:val="left"/>
      </w:pPr>
      <w:r w:rsidRPr="0051422A">
        <w:t>Es wird kein Kontrollfluss beschrieben</w:t>
      </w:r>
    </w:p>
    <w:p w14:paraId="45DA73C7" w14:textId="26C4ABDB" w:rsidR="002C3A4D" w:rsidRPr="0051422A" w:rsidRDefault="002918E8" w:rsidP="002918E8">
      <w:pPr>
        <w:ind w:left="360"/>
        <w:jc w:val="left"/>
      </w:pPr>
      <w:r w:rsidRPr="002918E8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 xml:space="preserve">Die Datenflüsse stellen keine Abläufe dar </w:t>
      </w:r>
    </w:p>
    <w:p w14:paraId="68986A9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werden keine auslösenden Ereignisse beschrieben</w:t>
      </w:r>
    </w:p>
    <w:p w14:paraId="3A3DFFC4" w14:textId="310D1C6C" w:rsidR="002C3A4D" w:rsidRPr="0051422A" w:rsidRDefault="00FA672B" w:rsidP="00FA672B">
      <w:pPr>
        <w:ind w:left="360"/>
        <w:jc w:val="left"/>
      </w:pPr>
      <w:r w:rsidRPr="00FA672B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>Es gibt keinen Prozess der eine Datenquelle darstellt</w:t>
      </w:r>
    </w:p>
    <w:p w14:paraId="7789E508" w14:textId="571460A7" w:rsidR="002C3A4D" w:rsidRPr="0051422A" w:rsidRDefault="00FA672B" w:rsidP="00FA672B">
      <w:pPr>
        <w:ind w:left="360"/>
        <w:jc w:val="left"/>
      </w:pPr>
      <w:r w:rsidRPr="00FA672B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>Es gibt keinen Prozess der eine Datensenke darstellt</w:t>
      </w:r>
    </w:p>
    <w:p w14:paraId="0024542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 xml:space="preserve">Es werden keine „springenden Daten (Datenspeicher </w:t>
      </w:r>
      <w:r w:rsidRPr="0051422A">
        <w:sym w:font="Wingdings" w:char="00E0"/>
      </w:r>
      <w:r w:rsidRPr="0051422A">
        <w:t xml:space="preserve"> Datenspeicher)“ beschrieben</w:t>
      </w:r>
    </w:p>
    <w:p w14:paraId="0CBD138B" w14:textId="23DF0BEC" w:rsidR="002C3A4D" w:rsidRPr="0051422A" w:rsidRDefault="00FA672B" w:rsidP="00FA672B">
      <w:pPr>
        <w:ind w:left="360"/>
        <w:jc w:val="left"/>
      </w:pPr>
      <w:r w:rsidRPr="00FA672B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 xml:space="preserve">Vorgänge außerhalb des Systems (Terminator </w:t>
      </w:r>
      <w:r w:rsidR="00FE06ED" w:rsidRPr="0051422A">
        <w:sym w:font="Wingdings" w:char="00E0"/>
      </w:r>
      <w:r w:rsidR="00FE06ED" w:rsidRPr="0051422A">
        <w:t xml:space="preserve"> Terminator) werden nicht dargestellt</w:t>
      </w:r>
    </w:p>
    <w:p w14:paraId="4CA377E4" w14:textId="2BBC71D9" w:rsidR="002C3A4D" w:rsidRPr="0051422A" w:rsidRDefault="00FA672B" w:rsidP="00FA672B">
      <w:pPr>
        <w:ind w:left="360"/>
        <w:jc w:val="left"/>
      </w:pPr>
      <w:r w:rsidRPr="00FA672B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>Eingangsdaten sind ungleich der Ausgangsdaten</w:t>
      </w:r>
    </w:p>
    <w:p w14:paraId="363B371E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Write-</w:t>
      </w:r>
      <w:proofErr w:type="spellStart"/>
      <w:r w:rsidRPr="0051422A">
        <w:t>Only</w:t>
      </w:r>
      <w:proofErr w:type="spellEnd"/>
      <w:r w:rsidRPr="0051422A">
        <w:t xml:space="preserve"> Datenspeicher</w:t>
      </w:r>
    </w:p>
    <w:p w14:paraId="18BE4787" w14:textId="77777777" w:rsidR="002C3A4D" w:rsidRPr="0051422A" w:rsidRDefault="00FE06ED" w:rsidP="00FC3AC2">
      <w:pPr>
        <w:numPr>
          <w:ilvl w:val="0"/>
          <w:numId w:val="22"/>
        </w:numPr>
        <w:jc w:val="left"/>
      </w:pPr>
      <w:r w:rsidRPr="0051422A">
        <w:t>Es gibt keinen Read-</w:t>
      </w:r>
      <w:proofErr w:type="spellStart"/>
      <w:r w:rsidRPr="0051422A">
        <w:t>Only</w:t>
      </w:r>
      <w:proofErr w:type="spellEnd"/>
      <w:r w:rsidRPr="0051422A">
        <w:t xml:space="preserve"> Datenspeicher</w:t>
      </w:r>
    </w:p>
    <w:p w14:paraId="56CAC069" w14:textId="77777777" w:rsidR="0051422A" w:rsidRDefault="0051422A" w:rsidP="00FC3AC2">
      <w:pPr>
        <w:jc w:val="left"/>
      </w:pPr>
    </w:p>
    <w:p w14:paraId="338B39DE" w14:textId="7F2F262D" w:rsidR="007C0C3B" w:rsidRPr="00FA672B" w:rsidRDefault="007C0C3B" w:rsidP="00FC3AC2">
      <w:pPr>
        <w:jc w:val="left"/>
      </w:pPr>
      <w:r w:rsidRPr="00FA672B">
        <w:t>Kommentar:</w:t>
      </w:r>
    </w:p>
    <w:p w14:paraId="1C90EF0A" w14:textId="0F1AED74" w:rsidR="007C0C3B" w:rsidRDefault="00701BC5" w:rsidP="007C0C3B">
      <w:pPr>
        <w:pStyle w:val="Listenabsatz"/>
        <w:numPr>
          <w:ilvl w:val="0"/>
          <w:numId w:val="44"/>
        </w:numPr>
        <w:jc w:val="left"/>
      </w:pPr>
      <w:r>
        <w:t xml:space="preserve">Komplett </w:t>
      </w:r>
      <w:r w:rsidR="007C0C3B">
        <w:t>Fehlende Datenspeicher!</w:t>
      </w:r>
    </w:p>
    <w:p w14:paraId="6C5CDA2F" w14:textId="605A8B5E" w:rsidR="007C0C3B" w:rsidRDefault="007C0C3B" w:rsidP="007C0C3B">
      <w:pPr>
        <w:pStyle w:val="Listenabsatz"/>
        <w:numPr>
          <w:ilvl w:val="0"/>
          <w:numId w:val="44"/>
        </w:numPr>
        <w:jc w:val="left"/>
      </w:pPr>
      <w:r>
        <w:t>Kein detaillierter Prozess bzgl. der Computeranzeige!</w:t>
      </w:r>
    </w:p>
    <w:p w14:paraId="0E9C1E7E" w14:textId="77777777" w:rsidR="00701BC5" w:rsidRDefault="00701BC5" w:rsidP="00701BC5">
      <w:pPr>
        <w:pStyle w:val="Listenabsatz"/>
        <w:numPr>
          <w:ilvl w:val="0"/>
          <w:numId w:val="44"/>
        </w:numPr>
        <w:jc w:val="left"/>
      </w:pPr>
      <w:r>
        <w:t xml:space="preserve">Kein Prozess bzgl. der Geister! (Position, Modi </w:t>
      </w:r>
      <w:proofErr w:type="spellStart"/>
      <w:proofErr w:type="gramStart"/>
      <w:r>
        <w:t>etc</w:t>
      </w:r>
      <w:proofErr w:type="spellEnd"/>
      <w:r>
        <w:t>...</w:t>
      </w:r>
      <w:proofErr w:type="gramEnd"/>
      <w:r>
        <w:t>)</w:t>
      </w:r>
    </w:p>
    <w:p w14:paraId="308D5921" w14:textId="6675106C" w:rsidR="007C0C3B" w:rsidRDefault="007C0C3B" w:rsidP="007C0C3B">
      <w:pPr>
        <w:pStyle w:val="Listenabsatz"/>
        <w:numPr>
          <w:ilvl w:val="0"/>
          <w:numId w:val="44"/>
        </w:numPr>
        <w:jc w:val="left"/>
      </w:pPr>
      <w:r>
        <w:t>Kein Prozess bzgl. der Leben!</w:t>
      </w:r>
    </w:p>
    <w:p w14:paraId="30A9B2E5" w14:textId="4D8EA5CA" w:rsidR="00701BC5" w:rsidRDefault="00701BC5" w:rsidP="007C0C3B">
      <w:pPr>
        <w:pStyle w:val="Listenabsatz"/>
        <w:numPr>
          <w:ilvl w:val="0"/>
          <w:numId w:val="44"/>
        </w:numPr>
        <w:jc w:val="left"/>
      </w:pPr>
      <w:r>
        <w:t>Kein Prozess bzgl. des Spielergebnis.</w:t>
      </w:r>
    </w:p>
    <w:p w14:paraId="460E0A87" w14:textId="3B6141CB" w:rsidR="00FA672B" w:rsidRDefault="00701BC5" w:rsidP="00FA672B">
      <w:pPr>
        <w:pStyle w:val="Listenabsatz"/>
        <w:numPr>
          <w:ilvl w:val="0"/>
          <w:numId w:val="44"/>
        </w:numPr>
        <w:jc w:val="left"/>
      </w:pPr>
      <w:r>
        <w:t>Komplett Fehlende Power-</w:t>
      </w:r>
      <w:proofErr w:type="spellStart"/>
      <w:r>
        <w:t>Ups</w:t>
      </w:r>
      <w:proofErr w:type="spellEnd"/>
      <w:r w:rsidR="00FA672B">
        <w:t>.</w:t>
      </w:r>
    </w:p>
    <w:p w14:paraId="18CE6EFF" w14:textId="6D227CC9" w:rsidR="00701BC5" w:rsidRDefault="00FA672B" w:rsidP="007C0C3B">
      <w:pPr>
        <w:pStyle w:val="Listenabsatz"/>
        <w:numPr>
          <w:ilvl w:val="0"/>
          <w:numId w:val="44"/>
        </w:numPr>
        <w:jc w:val="left"/>
      </w:pPr>
      <w:r>
        <w:t>Pause Prozess?</w:t>
      </w:r>
    </w:p>
    <w:p w14:paraId="00E11E0F" w14:textId="1CE0AF11" w:rsidR="007C0C3B" w:rsidRDefault="00701BC5" w:rsidP="007C0C3B">
      <w:pPr>
        <w:pStyle w:val="Listenabsatz"/>
        <w:numPr>
          <w:ilvl w:val="0"/>
          <w:numId w:val="44"/>
        </w:numPr>
        <w:jc w:val="left"/>
      </w:pPr>
      <w:r>
        <w:t>Interface wird nicht explizit erwähnt...</w:t>
      </w:r>
    </w:p>
    <w:p w14:paraId="653BA725" w14:textId="67E8F1B9" w:rsidR="007C0C3B" w:rsidRPr="0051422A" w:rsidRDefault="007C0C3B" w:rsidP="00FC3AC2">
      <w:pPr>
        <w:jc w:val="left"/>
      </w:pPr>
      <w:r>
        <w:tab/>
      </w:r>
      <w:r>
        <w:tab/>
      </w:r>
    </w:p>
    <w:p w14:paraId="3B446917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63" w:name="_Toc371420988"/>
      <w:bookmarkStart w:id="164" w:name="_Toc371421049"/>
      <w:bookmarkStart w:id="165" w:name="_Toc371421110"/>
      <w:bookmarkStart w:id="166" w:name="_Toc371421171"/>
      <w:bookmarkStart w:id="167" w:name="_Toc371421232"/>
      <w:bookmarkStart w:id="168" w:name="_Toc371421293"/>
      <w:bookmarkStart w:id="169" w:name="_Toc371421354"/>
      <w:bookmarkStart w:id="170" w:name="_Toc371420989"/>
      <w:bookmarkStart w:id="171" w:name="_Toc371421050"/>
      <w:bookmarkStart w:id="172" w:name="_Toc371421111"/>
      <w:bookmarkStart w:id="173" w:name="_Toc371421172"/>
      <w:bookmarkStart w:id="174" w:name="_Toc371421233"/>
      <w:bookmarkStart w:id="175" w:name="_Toc371421294"/>
      <w:bookmarkStart w:id="176" w:name="_Toc371421355"/>
      <w:bookmarkStart w:id="177" w:name="_Toc371420990"/>
      <w:bookmarkStart w:id="178" w:name="_Toc371421051"/>
      <w:bookmarkStart w:id="179" w:name="_Toc371421112"/>
      <w:bookmarkStart w:id="180" w:name="_Toc371421173"/>
      <w:bookmarkStart w:id="181" w:name="_Toc371421234"/>
      <w:bookmarkStart w:id="182" w:name="_Toc371421295"/>
      <w:bookmarkStart w:id="183" w:name="_Toc371421356"/>
      <w:bookmarkStart w:id="184" w:name="_Toc371420991"/>
      <w:bookmarkStart w:id="185" w:name="_Toc371421052"/>
      <w:bookmarkStart w:id="186" w:name="_Toc371421113"/>
      <w:bookmarkStart w:id="187" w:name="_Toc371421174"/>
      <w:bookmarkStart w:id="188" w:name="_Toc371421235"/>
      <w:bookmarkStart w:id="189" w:name="_Toc371421296"/>
      <w:bookmarkStart w:id="190" w:name="_Toc371421357"/>
      <w:bookmarkStart w:id="191" w:name="_Toc371420992"/>
      <w:bookmarkStart w:id="192" w:name="_Toc371421053"/>
      <w:bookmarkStart w:id="193" w:name="_Toc371421114"/>
      <w:bookmarkStart w:id="194" w:name="_Toc371421175"/>
      <w:bookmarkStart w:id="195" w:name="_Toc371421236"/>
      <w:bookmarkStart w:id="196" w:name="_Toc371421297"/>
      <w:bookmarkStart w:id="197" w:name="_Toc371421358"/>
      <w:bookmarkStart w:id="198" w:name="_Toc371420993"/>
      <w:bookmarkStart w:id="199" w:name="_Toc371421054"/>
      <w:bookmarkStart w:id="200" w:name="_Toc371421115"/>
      <w:bookmarkStart w:id="201" w:name="_Toc371421176"/>
      <w:bookmarkStart w:id="202" w:name="_Toc371421237"/>
      <w:bookmarkStart w:id="203" w:name="_Toc371421298"/>
      <w:bookmarkStart w:id="204" w:name="_Toc371421359"/>
      <w:bookmarkStart w:id="205" w:name="_Toc371420994"/>
      <w:bookmarkStart w:id="206" w:name="_Toc371421055"/>
      <w:bookmarkStart w:id="207" w:name="_Toc371421116"/>
      <w:bookmarkStart w:id="208" w:name="_Toc371421177"/>
      <w:bookmarkStart w:id="209" w:name="_Toc371421238"/>
      <w:bookmarkStart w:id="210" w:name="_Toc371421299"/>
      <w:bookmarkStart w:id="211" w:name="_Toc371421360"/>
      <w:bookmarkStart w:id="212" w:name="_Toc371420995"/>
      <w:bookmarkStart w:id="213" w:name="_Toc371421056"/>
      <w:bookmarkStart w:id="214" w:name="_Toc371421117"/>
      <w:bookmarkStart w:id="215" w:name="_Toc371421178"/>
      <w:bookmarkStart w:id="216" w:name="_Toc371421239"/>
      <w:bookmarkStart w:id="217" w:name="_Toc371421300"/>
      <w:bookmarkStart w:id="218" w:name="_Toc371421361"/>
      <w:bookmarkStart w:id="219" w:name="_Toc371421006"/>
      <w:bookmarkStart w:id="220" w:name="_Toc371421067"/>
      <w:bookmarkStart w:id="221" w:name="_Toc371421128"/>
      <w:bookmarkStart w:id="222" w:name="_Toc371421189"/>
      <w:bookmarkStart w:id="223" w:name="_Toc371421250"/>
      <w:bookmarkStart w:id="224" w:name="_Toc371421311"/>
      <w:bookmarkStart w:id="225" w:name="_Toc371421372"/>
      <w:bookmarkStart w:id="226" w:name="_Toc371421009"/>
      <w:bookmarkStart w:id="227" w:name="_Toc371421070"/>
      <w:bookmarkStart w:id="228" w:name="_Toc371421131"/>
      <w:bookmarkStart w:id="229" w:name="_Toc371421192"/>
      <w:bookmarkStart w:id="230" w:name="_Toc371421253"/>
      <w:bookmarkStart w:id="231" w:name="_Toc371421314"/>
      <w:bookmarkStart w:id="232" w:name="_Toc371421375"/>
      <w:bookmarkStart w:id="233" w:name="_Toc371602156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t>Mini Spezifikation</w:t>
      </w:r>
      <w:bookmarkEnd w:id="233"/>
    </w:p>
    <w:p w14:paraId="4A80753E" w14:textId="0801F204" w:rsidR="002C3A4D" w:rsidRPr="0051422A" w:rsidRDefault="00FA672B" w:rsidP="00FA672B">
      <w:pPr>
        <w:ind w:left="360"/>
        <w:jc w:val="left"/>
      </w:pPr>
      <w:r w:rsidRPr="00FA672B">
        <w:rPr>
          <w:rFonts w:ascii="Webdings" w:hAnsi="Webdings" w:cs="Webdings"/>
          <w:sz w:val="15"/>
        </w:rPr>
        <w:t></w:t>
      </w:r>
      <w:r>
        <w:rPr>
          <w:rFonts w:ascii="Webdings" w:hAnsi="Webdings" w:cs="Webdings"/>
          <w:sz w:val="15"/>
        </w:rPr>
        <w:tab/>
      </w:r>
      <w:r w:rsidR="00FE06ED" w:rsidRPr="0051422A">
        <w:t>Jeder Prozess des DFD wird beschrieben</w:t>
      </w:r>
    </w:p>
    <w:p w14:paraId="3D1E95DA" w14:textId="2E44C83B" w:rsidR="002C3A4D" w:rsidRPr="0051422A" w:rsidRDefault="00FA672B" w:rsidP="00FA672B">
      <w:pPr>
        <w:ind w:left="360"/>
        <w:jc w:val="left"/>
      </w:pPr>
      <w:r w:rsidRPr="00FA672B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>Bei jeder Prozessbeschreibung wird geschildert welche Input-Daten der Prozess bekommt</w:t>
      </w:r>
    </w:p>
    <w:p w14:paraId="5967AD3A" w14:textId="77777777" w:rsidR="002C3A4D" w:rsidRPr="0051422A" w:rsidRDefault="00FE06ED" w:rsidP="00FC3AC2">
      <w:pPr>
        <w:numPr>
          <w:ilvl w:val="0"/>
          <w:numId w:val="23"/>
        </w:numPr>
        <w:jc w:val="left"/>
      </w:pPr>
      <w:r w:rsidRPr="0051422A">
        <w:t>Bei jeder Prozessbeschreibung wird geschildert welche Output-Daten der Prozess ausgibt</w:t>
      </w:r>
    </w:p>
    <w:p w14:paraId="704C4F85" w14:textId="49C376D2" w:rsidR="001062A0" w:rsidRDefault="00FE06ED" w:rsidP="00FC3AC2">
      <w:pPr>
        <w:numPr>
          <w:ilvl w:val="0"/>
          <w:numId w:val="23"/>
        </w:numPr>
        <w:jc w:val="left"/>
      </w:pPr>
      <w:r w:rsidRPr="0051422A">
        <w:t>Bei jeder Prozessbeschreibung wird beschrieben wie der Prozess von den In</w:t>
      </w:r>
      <w:r w:rsidR="001062A0">
        <w:t>put- auf die Output-Daten kommt.</w:t>
      </w:r>
    </w:p>
    <w:p w14:paraId="58AE3627" w14:textId="77777777" w:rsidR="001062A0" w:rsidRDefault="001062A0" w:rsidP="001062A0">
      <w:pPr>
        <w:jc w:val="left"/>
      </w:pPr>
    </w:p>
    <w:p w14:paraId="6AB2238A" w14:textId="2CB11C20" w:rsidR="001062A0" w:rsidRPr="0051422A" w:rsidRDefault="001062A0" w:rsidP="001062A0">
      <w:pPr>
        <w:pStyle w:val="Listenabsatz"/>
        <w:numPr>
          <w:ilvl w:val="0"/>
          <w:numId w:val="45"/>
        </w:numPr>
        <w:jc w:val="left"/>
      </w:pPr>
      <w:r>
        <w:t xml:space="preserve">Fehlende Output-Daten, siehe </w:t>
      </w:r>
      <w:proofErr w:type="spellStart"/>
      <w:r>
        <w:t>z.B</w:t>
      </w:r>
      <w:proofErr w:type="spellEnd"/>
      <w:r>
        <w:t xml:space="preserve"> „Transformation in physische Aktionen“.</w:t>
      </w:r>
    </w:p>
    <w:p w14:paraId="75E94471" w14:textId="77777777" w:rsidR="0051422A" w:rsidRPr="0051422A" w:rsidRDefault="0051422A" w:rsidP="00FC3AC2">
      <w:pPr>
        <w:jc w:val="left"/>
      </w:pPr>
    </w:p>
    <w:p w14:paraId="10F39552" w14:textId="77777777" w:rsidR="007C272E" w:rsidRDefault="00877FCF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234" w:name="_Toc371602157"/>
      <w:r>
        <w:t xml:space="preserve">Data </w:t>
      </w:r>
      <w:proofErr w:type="spellStart"/>
      <w:r>
        <w:t>Dictionary</w:t>
      </w:r>
      <w:bookmarkEnd w:id="234"/>
      <w:proofErr w:type="spellEnd"/>
    </w:p>
    <w:p w14:paraId="6BB41E6A" w14:textId="77777777" w:rsidR="002C3A4D" w:rsidRPr="0051422A" w:rsidRDefault="00FE06ED" w:rsidP="00FC3AC2">
      <w:pPr>
        <w:numPr>
          <w:ilvl w:val="0"/>
          <w:numId w:val="24"/>
        </w:numPr>
        <w:jc w:val="left"/>
      </w:pPr>
      <w:r w:rsidRPr="0051422A">
        <w:t>Alle Datenspeicher und Datenflüsse werden durch deren einzelnen Datenelemente beschrieben</w:t>
      </w:r>
    </w:p>
    <w:p w14:paraId="77FFA81D" w14:textId="1A6683B2" w:rsidR="002C3A4D" w:rsidRPr="0051422A" w:rsidRDefault="0056091F" w:rsidP="0056091F">
      <w:pPr>
        <w:ind w:left="360"/>
        <w:jc w:val="left"/>
      </w:pPr>
      <w:r w:rsidRPr="0056091F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>Alle Zuweisungen sind in</w:t>
      </w:r>
      <w:r w:rsidR="00FC3AC2">
        <w:t xml:space="preserve"> folgender Form dargestellt:</w:t>
      </w:r>
      <w:r w:rsidR="00FC3AC2">
        <w:br/>
      </w:r>
      <w:r>
        <w:tab/>
      </w:r>
      <w:r w:rsidR="00FE06ED" w:rsidRPr="0051422A">
        <w:t>&lt;Datenfluss/-element&gt; = &lt;Zusammensetzung/Datentyp&gt;</w:t>
      </w:r>
    </w:p>
    <w:p w14:paraId="25E1580C" w14:textId="783861B6" w:rsidR="002C3A4D" w:rsidRPr="0051422A" w:rsidRDefault="0056091F" w:rsidP="0056091F">
      <w:pPr>
        <w:ind w:left="360"/>
        <w:jc w:val="left"/>
      </w:pPr>
      <w:r w:rsidRPr="0056091F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 xml:space="preserve">Links von der Zuweisung stehen nur </w:t>
      </w:r>
      <w:proofErr w:type="gramStart"/>
      <w:r w:rsidR="00FE06ED" w:rsidRPr="0051422A">
        <w:t>nicht-atomare</w:t>
      </w:r>
      <w:proofErr w:type="gramEnd"/>
      <w:r w:rsidR="00FE06ED" w:rsidRPr="0051422A">
        <w:t xml:space="preserve"> Begriffe</w:t>
      </w:r>
    </w:p>
    <w:p w14:paraId="50FB9368" w14:textId="5524039F" w:rsidR="002C3A4D" w:rsidRPr="0051422A" w:rsidRDefault="0056091F" w:rsidP="0056091F">
      <w:pPr>
        <w:ind w:left="360"/>
        <w:jc w:val="left"/>
      </w:pPr>
      <w:r w:rsidRPr="0056091F">
        <w:rPr>
          <w:rFonts w:ascii="Webdings" w:hAnsi="Webdings" w:cs="Webdings"/>
          <w:sz w:val="15"/>
        </w:rPr>
        <w:t></w:t>
      </w:r>
      <w:r>
        <w:tab/>
      </w:r>
      <w:proofErr w:type="gramStart"/>
      <w:r w:rsidR="00FE06ED" w:rsidRPr="0051422A">
        <w:t>Nicht-atomare</w:t>
      </w:r>
      <w:proofErr w:type="gramEnd"/>
      <w:r w:rsidR="00FE06ED" w:rsidRPr="0051422A">
        <w:t xml:space="preserve"> Begriffe sind bis zu deren atomaren Begriffen beschrieben</w:t>
      </w:r>
    </w:p>
    <w:p w14:paraId="5E52EED2" w14:textId="54170885" w:rsidR="002C3A4D" w:rsidRPr="0051422A" w:rsidRDefault="0056091F" w:rsidP="0056091F">
      <w:pPr>
        <w:ind w:left="360"/>
        <w:jc w:val="left"/>
      </w:pPr>
      <w:r w:rsidRPr="0056091F">
        <w:rPr>
          <w:rFonts w:ascii="Webdings" w:hAnsi="Webdings" w:cs="Webdings"/>
          <w:sz w:val="15"/>
        </w:rPr>
        <w:t></w:t>
      </w:r>
      <w:r>
        <w:tab/>
      </w:r>
      <w:r w:rsidR="00FE06ED" w:rsidRPr="0051422A">
        <w:t xml:space="preserve">Es sind keine zirkulären Definitionen vorhanden </w:t>
      </w:r>
    </w:p>
    <w:p w14:paraId="2EA0D9AA" w14:textId="77777777" w:rsidR="0051422A" w:rsidRPr="0051422A" w:rsidRDefault="0051422A" w:rsidP="00FC3AC2">
      <w:pPr>
        <w:jc w:val="left"/>
      </w:pPr>
    </w:p>
    <w:p w14:paraId="6BCB0D65" w14:textId="77777777" w:rsidR="007C272E" w:rsidRDefault="005E1526" w:rsidP="007C272E">
      <w:pPr>
        <w:pStyle w:val="berschrift2"/>
        <w:tabs>
          <w:tab w:val="clear" w:pos="2136"/>
          <w:tab w:val="num" w:pos="709"/>
        </w:tabs>
        <w:ind w:left="567"/>
        <w:jc w:val="left"/>
      </w:pPr>
      <w:bookmarkStart w:id="235" w:name="_Toc371602158"/>
      <w:r>
        <w:t xml:space="preserve">Message </w:t>
      </w:r>
      <w:proofErr w:type="spellStart"/>
      <w:r>
        <w:t>Sequence</w:t>
      </w:r>
      <w:proofErr w:type="spellEnd"/>
      <w:r>
        <w:t xml:space="preserve"> Charts</w:t>
      </w:r>
      <w:bookmarkEnd w:id="235"/>
    </w:p>
    <w:p w14:paraId="67CDD632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Startpunkt</w:t>
      </w:r>
    </w:p>
    <w:p w14:paraId="5E9F3BC4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Endpunkt</w:t>
      </w:r>
    </w:p>
    <w:p w14:paraId="1DC4B4DB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Im </w:t>
      </w:r>
      <w:proofErr w:type="spellStart"/>
      <w:r w:rsidRPr="0051422A">
        <w:t>hMSC</w:t>
      </w:r>
      <w:proofErr w:type="spellEnd"/>
      <w:r w:rsidRPr="0051422A">
        <w:t xml:space="preserve"> finden sich alle </w:t>
      </w:r>
      <w:proofErr w:type="spellStart"/>
      <w:r w:rsidRPr="0051422A">
        <w:t>bMSCs</w:t>
      </w:r>
      <w:proofErr w:type="spellEnd"/>
      <w:r w:rsidRPr="0051422A">
        <w:t xml:space="preserve"> wieder</w:t>
      </w:r>
    </w:p>
    <w:p w14:paraId="1E5B098E" w14:textId="77777777" w:rsidR="0051422A" w:rsidRPr="0051422A" w:rsidRDefault="0051422A" w:rsidP="00FC3AC2">
      <w:pPr>
        <w:jc w:val="left"/>
      </w:pPr>
    </w:p>
    <w:p w14:paraId="258A57D1" w14:textId="77777777" w:rsidR="00877FCF" w:rsidRPr="007069A6" w:rsidRDefault="00877FCF" w:rsidP="00FC3AC2">
      <w:pPr>
        <w:jc w:val="left"/>
      </w:pPr>
    </w:p>
    <w:p w14:paraId="4757AE7D" w14:textId="77777777" w:rsidR="00170785" w:rsidRDefault="00170785" w:rsidP="00FC3AC2">
      <w:pPr>
        <w:pStyle w:val="berschrift1"/>
      </w:pPr>
      <w:bookmarkStart w:id="236" w:name="_Toc371602159"/>
      <w:r>
        <w:lastRenderedPageBreak/>
        <w:t>Technische</w:t>
      </w:r>
      <w:r w:rsidR="0028568B">
        <w:t>r</w:t>
      </w:r>
      <w:r w:rsidR="00CD24D0">
        <w:t xml:space="preserve"> </w:t>
      </w:r>
      <w:r w:rsidR="00FC3AC2">
        <w:t>A</w:t>
      </w:r>
      <w:r w:rsidR="0028568B">
        <w:t>rchitekturen</w:t>
      </w:r>
      <w:r w:rsidR="00FC3AC2">
        <w:t>twurf</w:t>
      </w:r>
      <w:bookmarkEnd w:id="236"/>
    </w:p>
    <w:p w14:paraId="09CDC8C8" w14:textId="77777777" w:rsidR="007C272E" w:rsidRDefault="0051422A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37" w:name="_Toc371602160"/>
      <w:proofErr w:type="gramStart"/>
      <w:r>
        <w:t>Technisches  Konzept</w:t>
      </w:r>
      <w:bookmarkEnd w:id="237"/>
      <w:proofErr w:type="gramEnd"/>
    </w:p>
    <w:p w14:paraId="369C4C31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Für jedes Ziel muss definiert sein, ob es sich um ein Hard- oder </w:t>
      </w:r>
      <w:proofErr w:type="spellStart"/>
      <w:r w:rsidRPr="00FF2AA1">
        <w:t>Softgoal</w:t>
      </w:r>
      <w:proofErr w:type="spellEnd"/>
      <w:r w:rsidRPr="00FF2AA1">
        <w:t xml:space="preserve"> handelt</w:t>
      </w:r>
    </w:p>
    <w:p w14:paraId="2523BBBC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Blätter im </w:t>
      </w:r>
      <w:proofErr w:type="spellStart"/>
      <w:r w:rsidRPr="00FF2AA1">
        <w:t>Zielbaum</w:t>
      </w:r>
      <w:proofErr w:type="spellEnd"/>
      <w:r w:rsidRPr="00FF2AA1">
        <w:t xml:space="preserve"> dürfen nur </w:t>
      </w:r>
      <w:proofErr w:type="spellStart"/>
      <w:r w:rsidRPr="00FF2AA1">
        <w:t>Hardgoals</w:t>
      </w:r>
      <w:proofErr w:type="spellEnd"/>
      <w:r w:rsidRPr="00FF2AA1">
        <w:t xml:space="preserve"> sein</w:t>
      </w:r>
    </w:p>
    <w:p w14:paraId="66E5DD28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Jedes Element des technischen Konzepts muss kurz beschrieben sein</w:t>
      </w:r>
    </w:p>
    <w:p w14:paraId="1B623AC6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Die Zuordnung zwischen Prozessen und Speichern im DFD zu den Elementen im Lösung</w:t>
      </w:r>
      <w:r w:rsidR="0028568B">
        <w:t>skonzept muss dokumentiert sein</w:t>
      </w:r>
    </w:p>
    <w:p w14:paraId="22757F58" w14:textId="77777777" w:rsidR="0051422A" w:rsidRPr="0051422A" w:rsidRDefault="0051422A" w:rsidP="00FC3AC2">
      <w:pPr>
        <w:jc w:val="left"/>
      </w:pPr>
    </w:p>
    <w:p w14:paraId="10A31C67" w14:textId="77777777" w:rsidR="007C272E" w:rsidRDefault="00FC3AC2" w:rsidP="007C272E">
      <w:pPr>
        <w:pStyle w:val="berschrift1"/>
      </w:pPr>
      <w:bookmarkStart w:id="238" w:name="_Toc303353243"/>
      <w:bookmarkStart w:id="239" w:name="_Toc305757777"/>
      <w:bookmarkStart w:id="240" w:name="_Toc371602161"/>
      <w:bookmarkEnd w:id="238"/>
      <w:bookmarkEnd w:id="239"/>
      <w:r>
        <w:lastRenderedPageBreak/>
        <w:t>Komponentenentwurf</w:t>
      </w:r>
      <w:bookmarkEnd w:id="240"/>
    </w:p>
    <w:p w14:paraId="5C854F31" w14:textId="77777777" w:rsidR="0017168A" w:rsidRPr="0017168A" w:rsidDel="00437F4A" w:rsidRDefault="0017168A" w:rsidP="00FC3AC2">
      <w:pPr>
        <w:jc w:val="left"/>
      </w:pPr>
    </w:p>
    <w:p w14:paraId="013BF85A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41" w:name="_Toc371602162"/>
      <w:r>
        <w:t>Komponentendiagramm</w:t>
      </w:r>
      <w:bookmarkEnd w:id="241"/>
    </w:p>
    <w:p w14:paraId="74B3373C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Alle Komponenten des technischen Konzepts sind im Komponentendiagramm vorhanden </w:t>
      </w:r>
    </w:p>
    <w:p w14:paraId="1A5AEEE3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Jede Komponente findet sich in der Package-Struktur wieder </w:t>
      </w:r>
    </w:p>
    <w:p w14:paraId="2D8B43AC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Komponenten sind untereinander jeweils durch ein definiertes Interface verbunden </w:t>
      </w:r>
    </w:p>
    <w:p w14:paraId="52AFE2B8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>Die Komponenten sind im Kontext des Model-View-Controller-Patterns eingeordnet</w:t>
      </w:r>
    </w:p>
    <w:p w14:paraId="40998064" w14:textId="77777777" w:rsidR="00CB135A" w:rsidRDefault="00FE06ED" w:rsidP="00E236F6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Schnittstellen zur Außenwelt sind deutlich </w:t>
      </w:r>
      <w:bookmarkStart w:id="242" w:name="_Toc371421019"/>
      <w:bookmarkStart w:id="243" w:name="_Toc371421080"/>
      <w:bookmarkStart w:id="244" w:name="_Toc371421141"/>
      <w:bookmarkStart w:id="245" w:name="_Toc371421202"/>
      <w:bookmarkStart w:id="246" w:name="_Toc371421263"/>
      <w:bookmarkStart w:id="247" w:name="_Toc371421324"/>
      <w:bookmarkStart w:id="248" w:name="_Toc371421385"/>
      <w:bookmarkEnd w:id="242"/>
      <w:bookmarkEnd w:id="243"/>
      <w:bookmarkEnd w:id="244"/>
      <w:bookmarkEnd w:id="245"/>
      <w:bookmarkEnd w:id="246"/>
      <w:bookmarkEnd w:id="247"/>
      <w:bookmarkEnd w:id="248"/>
    </w:p>
    <w:sectPr w:rsidR="00CB135A" w:rsidSect="008579F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AD33F" w14:textId="77777777" w:rsidR="00054AF2" w:rsidRDefault="00054AF2">
      <w:r>
        <w:separator/>
      </w:r>
    </w:p>
  </w:endnote>
  <w:endnote w:type="continuationSeparator" w:id="0">
    <w:p w14:paraId="6B9FFE0A" w14:textId="77777777" w:rsidR="00054AF2" w:rsidRDefault="0005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4CA9A" w14:textId="7207BD76" w:rsidR="00053E4F" w:rsidRDefault="00053E4F" w:rsidP="002A38F5">
    <w:pPr>
      <w:pStyle w:val="Fuzeile"/>
      <w:pBdr>
        <w:top w:val="single" w:sz="4" w:space="1" w:color="auto"/>
      </w:pBdr>
      <w:jc w:val="center"/>
    </w:pPr>
    <w:r>
      <w:t xml:space="preserve">Seite </w:t>
    </w:r>
    <w:r w:rsidR="00702799">
      <w:fldChar w:fldCharType="begin"/>
    </w:r>
    <w:r w:rsidR="00702799">
      <w:instrText xml:space="preserve"> PAGE </w:instrText>
    </w:r>
    <w:r w:rsidR="00702799">
      <w:fldChar w:fldCharType="separate"/>
    </w:r>
    <w:r w:rsidR="00D45B82">
      <w:rPr>
        <w:noProof/>
      </w:rPr>
      <w:t>1</w:t>
    </w:r>
    <w:r w:rsidR="00702799">
      <w:rPr>
        <w:noProof/>
      </w:rPr>
      <w:fldChar w:fldCharType="end"/>
    </w:r>
    <w:r>
      <w:t xml:space="preserve"> von </w:t>
    </w:r>
    <w:r w:rsidR="00054AF2">
      <w:fldChar w:fldCharType="begin"/>
    </w:r>
    <w:r w:rsidR="00054AF2">
      <w:instrText xml:space="preserve"> NUMPAGES </w:instrText>
    </w:r>
    <w:r w:rsidR="00054AF2">
      <w:fldChar w:fldCharType="separate"/>
    </w:r>
    <w:r w:rsidR="00D45B82">
      <w:rPr>
        <w:noProof/>
      </w:rPr>
      <w:t>7</w:t>
    </w:r>
    <w:r w:rsidR="00054AF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B98C0" w14:textId="77777777" w:rsidR="00054AF2" w:rsidRDefault="00054AF2">
      <w:r>
        <w:separator/>
      </w:r>
    </w:p>
  </w:footnote>
  <w:footnote w:type="continuationSeparator" w:id="0">
    <w:p w14:paraId="4B98157E" w14:textId="77777777" w:rsidR="00054AF2" w:rsidRDefault="00054A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31D65" w14:textId="77777777" w:rsidR="00053E4F" w:rsidRPr="002A38F5" w:rsidRDefault="00053E4F" w:rsidP="002A38F5">
    <w:pPr>
      <w:pStyle w:val="Kopfzeile"/>
      <w:pBdr>
        <w:bottom w:val="single" w:sz="4" w:space="1" w:color="auto"/>
      </w:pBdr>
      <w:rPr>
        <w:sz w:val="18"/>
      </w:rPr>
    </w:pPr>
    <w:r w:rsidRPr="002A38F5">
      <w:rPr>
        <w:rFonts w:cs="Arial"/>
        <w:b/>
        <w:i/>
        <w:sz w:val="28"/>
      </w:rPr>
      <w:t xml:space="preserve">Software Entwicklung &amp; Programmierung </w:t>
    </w:r>
    <w:r w:rsidR="0020330E">
      <w:rPr>
        <w:rFonts w:cs="Arial"/>
        <w:b/>
        <w:i/>
        <w:sz w:val="28"/>
      </w:rPr>
      <w:t>Sommersemester 20</w:t>
    </w:r>
    <w:r>
      <w:rPr>
        <w:rFonts w:cs="Arial"/>
        <w:b/>
        <w:i/>
        <w:sz w:val="28"/>
      </w:rPr>
      <w:t>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39A4C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069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27873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86E9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261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9A69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C2F8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AC70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FAF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D68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80B60"/>
    <w:multiLevelType w:val="hybridMultilevel"/>
    <w:tmpl w:val="2054A08C"/>
    <w:lvl w:ilvl="0" w:tplc="C74E7EE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2A14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66D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209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862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C5C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57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C08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AEC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8B6FFA"/>
    <w:multiLevelType w:val="hybridMultilevel"/>
    <w:tmpl w:val="25C4129C"/>
    <w:lvl w:ilvl="0" w:tplc="5768AF1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81F4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6AD2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25F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A5F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A1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EE85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427C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2438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AC3FD1"/>
    <w:multiLevelType w:val="hybridMultilevel"/>
    <w:tmpl w:val="E86C1F58"/>
    <w:lvl w:ilvl="0" w:tplc="C332F0F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4D6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AA5F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0F5F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EA7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9A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A0D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AA0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26D8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1C314A"/>
    <w:multiLevelType w:val="multilevel"/>
    <w:tmpl w:val="DFB00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136"/>
        </w:tabs>
        <w:ind w:left="213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41"/>
        </w:tabs>
        <w:ind w:left="7241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7F24466"/>
    <w:multiLevelType w:val="hybridMultilevel"/>
    <w:tmpl w:val="A0C8A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51D8C"/>
    <w:multiLevelType w:val="hybridMultilevel"/>
    <w:tmpl w:val="6CD24D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560C15"/>
    <w:multiLevelType w:val="hybridMultilevel"/>
    <w:tmpl w:val="5478038A"/>
    <w:lvl w:ilvl="0" w:tplc="10F04E6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EB2E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63B5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E15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8968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AF9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4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6DEF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FB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006AE3"/>
    <w:multiLevelType w:val="hybridMultilevel"/>
    <w:tmpl w:val="9DC41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D1A85"/>
    <w:multiLevelType w:val="hybridMultilevel"/>
    <w:tmpl w:val="0B0C4C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A014AA"/>
    <w:multiLevelType w:val="hybridMultilevel"/>
    <w:tmpl w:val="F89292DE"/>
    <w:lvl w:ilvl="0" w:tplc="F8323A6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68AA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C90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AB7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C0A2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B6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E62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619E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28E3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9E3D5E"/>
    <w:multiLevelType w:val="hybridMultilevel"/>
    <w:tmpl w:val="ECC860C8"/>
    <w:lvl w:ilvl="0" w:tplc="6AC814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6084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B65BB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863F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441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8E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C6A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E08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437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5D1AD8"/>
    <w:multiLevelType w:val="hybridMultilevel"/>
    <w:tmpl w:val="F9DAC234"/>
    <w:lvl w:ilvl="0" w:tplc="E668D6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6F14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4A3B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A0F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1C30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0C71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A22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80B60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46C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0131CA"/>
    <w:multiLevelType w:val="hybridMultilevel"/>
    <w:tmpl w:val="12221106"/>
    <w:lvl w:ilvl="0" w:tplc="2466D75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65B21"/>
    <w:multiLevelType w:val="hybridMultilevel"/>
    <w:tmpl w:val="765E62F8"/>
    <w:lvl w:ilvl="0" w:tplc="5844905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EBD8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D4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84FD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E1AC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EB04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60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6A7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25D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A5DFF"/>
    <w:multiLevelType w:val="hybridMultilevel"/>
    <w:tmpl w:val="81D07106"/>
    <w:lvl w:ilvl="0" w:tplc="7D0838A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68F1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A73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C0CD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34222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28E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45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AE96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E543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3E052C"/>
    <w:multiLevelType w:val="hybridMultilevel"/>
    <w:tmpl w:val="2AB00FC4"/>
    <w:lvl w:ilvl="0" w:tplc="0FE653D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F4358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2ACA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62EA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C7C8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455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3E4EC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E82E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6A0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293A7E"/>
    <w:multiLevelType w:val="hybridMultilevel"/>
    <w:tmpl w:val="4580C2C8"/>
    <w:lvl w:ilvl="0" w:tplc="17F46EB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88D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E37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EE02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4B70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87F4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EFA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699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061A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881A0E"/>
    <w:multiLevelType w:val="hybridMultilevel"/>
    <w:tmpl w:val="724EB1D4"/>
    <w:lvl w:ilvl="0" w:tplc="A078BA9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2AE6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E46A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6420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4A28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A98C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59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273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CAC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A02534"/>
    <w:multiLevelType w:val="hybridMultilevel"/>
    <w:tmpl w:val="0EFE6916"/>
    <w:lvl w:ilvl="0" w:tplc="F05C876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A9F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68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649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631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2947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AAF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01D9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96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626DF"/>
    <w:multiLevelType w:val="hybridMultilevel"/>
    <w:tmpl w:val="C5608BAE"/>
    <w:lvl w:ilvl="0" w:tplc="04CE8F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47AE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CED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248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EAE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CBA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A86A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6011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2EA8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221B18"/>
    <w:multiLevelType w:val="hybridMultilevel"/>
    <w:tmpl w:val="359E5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B77038"/>
    <w:multiLevelType w:val="hybridMultilevel"/>
    <w:tmpl w:val="D8B2E646"/>
    <w:lvl w:ilvl="0" w:tplc="CB24DA3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2DAF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CC87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682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C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08F3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230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CCB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C58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452366"/>
    <w:multiLevelType w:val="hybridMultilevel"/>
    <w:tmpl w:val="5AB679B0"/>
    <w:lvl w:ilvl="0" w:tplc="BFF814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43FF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E72D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A31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657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57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63A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5CC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F25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A4C00"/>
    <w:multiLevelType w:val="hybridMultilevel"/>
    <w:tmpl w:val="15B2D002"/>
    <w:lvl w:ilvl="0" w:tplc="CA92E4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BFD3242"/>
    <w:multiLevelType w:val="hybridMultilevel"/>
    <w:tmpl w:val="AF04C810"/>
    <w:lvl w:ilvl="0" w:tplc="B5F4DD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17648E1"/>
    <w:multiLevelType w:val="hybridMultilevel"/>
    <w:tmpl w:val="4FCE2BC2"/>
    <w:lvl w:ilvl="0" w:tplc="289670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81A8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46B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C67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859F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877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457D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2EB5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E9A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38466C"/>
    <w:multiLevelType w:val="hybridMultilevel"/>
    <w:tmpl w:val="AD34494A"/>
    <w:lvl w:ilvl="0" w:tplc="2158A0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828E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42D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AF3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ED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E8F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41A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E819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45CD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BE726A"/>
    <w:multiLevelType w:val="hybridMultilevel"/>
    <w:tmpl w:val="2D2A1C7C"/>
    <w:lvl w:ilvl="0" w:tplc="1B1A35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0A4D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634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B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CE2E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E0D3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A3FC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4A6A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E89F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8D4421"/>
    <w:multiLevelType w:val="hybridMultilevel"/>
    <w:tmpl w:val="B044A2A2"/>
    <w:lvl w:ilvl="0" w:tplc="A5EAA0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12E16"/>
    <w:multiLevelType w:val="hybridMultilevel"/>
    <w:tmpl w:val="B608E870"/>
    <w:lvl w:ilvl="0" w:tplc="E33E44E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030829"/>
    <w:multiLevelType w:val="hybridMultilevel"/>
    <w:tmpl w:val="A01AAF2A"/>
    <w:lvl w:ilvl="0" w:tplc="84FAE9C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64FD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A95E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38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84A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4F3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CAF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2A60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2176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DD1E64"/>
    <w:multiLevelType w:val="hybridMultilevel"/>
    <w:tmpl w:val="4B0A53FA"/>
    <w:lvl w:ilvl="0" w:tplc="2B909B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6C8A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0122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81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658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09B4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CC4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EF52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A7B5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5458D0"/>
    <w:multiLevelType w:val="hybridMultilevel"/>
    <w:tmpl w:val="D9402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685D69"/>
    <w:multiLevelType w:val="hybridMultilevel"/>
    <w:tmpl w:val="AABC8EA0"/>
    <w:lvl w:ilvl="0" w:tplc="3760D3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C53A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81B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80BB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319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4E7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8BBD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4A54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8B9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5"/>
  </w:num>
  <w:num w:numId="14">
    <w:abstractNumId w:val="34"/>
  </w:num>
  <w:num w:numId="15">
    <w:abstractNumId w:val="30"/>
  </w:num>
  <w:num w:numId="16">
    <w:abstractNumId w:val="17"/>
  </w:num>
  <w:num w:numId="17">
    <w:abstractNumId w:val="33"/>
  </w:num>
  <w:num w:numId="18">
    <w:abstractNumId w:val="14"/>
  </w:num>
  <w:num w:numId="19">
    <w:abstractNumId w:val="42"/>
  </w:num>
  <w:num w:numId="20">
    <w:abstractNumId w:val="11"/>
  </w:num>
  <w:num w:numId="21">
    <w:abstractNumId w:val="31"/>
  </w:num>
  <w:num w:numId="22">
    <w:abstractNumId w:val="10"/>
  </w:num>
  <w:num w:numId="23">
    <w:abstractNumId w:val="26"/>
  </w:num>
  <w:num w:numId="24">
    <w:abstractNumId w:val="37"/>
  </w:num>
  <w:num w:numId="25">
    <w:abstractNumId w:val="32"/>
  </w:num>
  <w:num w:numId="26">
    <w:abstractNumId w:val="29"/>
  </w:num>
  <w:num w:numId="27">
    <w:abstractNumId w:val="23"/>
  </w:num>
  <w:num w:numId="28">
    <w:abstractNumId w:val="43"/>
  </w:num>
  <w:num w:numId="29">
    <w:abstractNumId w:val="35"/>
  </w:num>
  <w:num w:numId="30">
    <w:abstractNumId w:val="36"/>
  </w:num>
  <w:num w:numId="31">
    <w:abstractNumId w:val="19"/>
  </w:num>
  <w:num w:numId="32">
    <w:abstractNumId w:val="27"/>
  </w:num>
  <w:num w:numId="33">
    <w:abstractNumId w:val="25"/>
  </w:num>
  <w:num w:numId="34">
    <w:abstractNumId w:val="28"/>
  </w:num>
  <w:num w:numId="35">
    <w:abstractNumId w:val="40"/>
  </w:num>
  <w:num w:numId="36">
    <w:abstractNumId w:val="41"/>
  </w:num>
  <w:num w:numId="37">
    <w:abstractNumId w:val="12"/>
  </w:num>
  <w:num w:numId="38">
    <w:abstractNumId w:val="21"/>
  </w:num>
  <w:num w:numId="39">
    <w:abstractNumId w:val="20"/>
  </w:num>
  <w:num w:numId="40">
    <w:abstractNumId w:val="16"/>
  </w:num>
  <w:num w:numId="41">
    <w:abstractNumId w:val="24"/>
  </w:num>
  <w:num w:numId="42">
    <w:abstractNumId w:val="13"/>
  </w:num>
  <w:num w:numId="43">
    <w:abstractNumId w:val="22"/>
  </w:num>
  <w:num w:numId="44">
    <w:abstractNumId w:val="38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5E1A"/>
    <w:rsid w:val="00002E54"/>
    <w:rsid w:val="0001023A"/>
    <w:rsid w:val="000104E2"/>
    <w:rsid w:val="000238E2"/>
    <w:rsid w:val="00025F43"/>
    <w:rsid w:val="00053E4F"/>
    <w:rsid w:val="000545D6"/>
    <w:rsid w:val="00054AF2"/>
    <w:rsid w:val="00064E34"/>
    <w:rsid w:val="0006574F"/>
    <w:rsid w:val="00075976"/>
    <w:rsid w:val="00084014"/>
    <w:rsid w:val="000866D0"/>
    <w:rsid w:val="000B5C38"/>
    <w:rsid w:val="000C1991"/>
    <w:rsid w:val="000C7EA3"/>
    <w:rsid w:val="000D4F3B"/>
    <w:rsid w:val="000E08E5"/>
    <w:rsid w:val="000F4C2C"/>
    <w:rsid w:val="000F55B6"/>
    <w:rsid w:val="001062A0"/>
    <w:rsid w:val="0011025C"/>
    <w:rsid w:val="001137A7"/>
    <w:rsid w:val="00116E8C"/>
    <w:rsid w:val="00125615"/>
    <w:rsid w:val="00144A5C"/>
    <w:rsid w:val="00145E85"/>
    <w:rsid w:val="0015054F"/>
    <w:rsid w:val="00157427"/>
    <w:rsid w:val="00170785"/>
    <w:rsid w:val="0017168A"/>
    <w:rsid w:val="00175245"/>
    <w:rsid w:val="0017707B"/>
    <w:rsid w:val="00182130"/>
    <w:rsid w:val="00183BA4"/>
    <w:rsid w:val="00184F7A"/>
    <w:rsid w:val="00185726"/>
    <w:rsid w:val="00186151"/>
    <w:rsid w:val="00190C28"/>
    <w:rsid w:val="00191F9C"/>
    <w:rsid w:val="00196115"/>
    <w:rsid w:val="001A4B37"/>
    <w:rsid w:val="001B2632"/>
    <w:rsid w:val="001D3E9B"/>
    <w:rsid w:val="001D446F"/>
    <w:rsid w:val="001D6802"/>
    <w:rsid w:val="001F0BBA"/>
    <w:rsid w:val="001F3B95"/>
    <w:rsid w:val="002012AF"/>
    <w:rsid w:val="00202A51"/>
    <w:rsid w:val="0020330E"/>
    <w:rsid w:val="00205A93"/>
    <w:rsid w:val="00205E22"/>
    <w:rsid w:val="00223B8B"/>
    <w:rsid w:val="00225C0A"/>
    <w:rsid w:val="002347CE"/>
    <w:rsid w:val="0023496E"/>
    <w:rsid w:val="002406BC"/>
    <w:rsid w:val="002477BF"/>
    <w:rsid w:val="002544C6"/>
    <w:rsid w:val="002563E2"/>
    <w:rsid w:val="00256A08"/>
    <w:rsid w:val="002579EF"/>
    <w:rsid w:val="00264F3D"/>
    <w:rsid w:val="00266370"/>
    <w:rsid w:val="00266452"/>
    <w:rsid w:val="0027048E"/>
    <w:rsid w:val="0028568B"/>
    <w:rsid w:val="00287644"/>
    <w:rsid w:val="002918E8"/>
    <w:rsid w:val="00293DA4"/>
    <w:rsid w:val="00295C92"/>
    <w:rsid w:val="0029600E"/>
    <w:rsid w:val="00297497"/>
    <w:rsid w:val="002A38F5"/>
    <w:rsid w:val="002B33CA"/>
    <w:rsid w:val="002B524E"/>
    <w:rsid w:val="002B5D7F"/>
    <w:rsid w:val="002B67E9"/>
    <w:rsid w:val="002B78D7"/>
    <w:rsid w:val="002C133A"/>
    <w:rsid w:val="002C3A4D"/>
    <w:rsid w:val="002D6576"/>
    <w:rsid w:val="003044FB"/>
    <w:rsid w:val="003065FF"/>
    <w:rsid w:val="00306A49"/>
    <w:rsid w:val="00324D6A"/>
    <w:rsid w:val="00345690"/>
    <w:rsid w:val="0035229B"/>
    <w:rsid w:val="00353982"/>
    <w:rsid w:val="003574FC"/>
    <w:rsid w:val="003613CD"/>
    <w:rsid w:val="00361723"/>
    <w:rsid w:val="003637FC"/>
    <w:rsid w:val="00371F6D"/>
    <w:rsid w:val="00373B1B"/>
    <w:rsid w:val="00384E1D"/>
    <w:rsid w:val="0038711E"/>
    <w:rsid w:val="00396C68"/>
    <w:rsid w:val="00397A7A"/>
    <w:rsid w:val="003A1191"/>
    <w:rsid w:val="003A54E6"/>
    <w:rsid w:val="003A5F50"/>
    <w:rsid w:val="003A6598"/>
    <w:rsid w:val="003B0B25"/>
    <w:rsid w:val="003B75C8"/>
    <w:rsid w:val="003D449A"/>
    <w:rsid w:val="003E5738"/>
    <w:rsid w:val="003E7B35"/>
    <w:rsid w:val="003F1FD1"/>
    <w:rsid w:val="003F5E1A"/>
    <w:rsid w:val="003F65BD"/>
    <w:rsid w:val="00402E43"/>
    <w:rsid w:val="00403B05"/>
    <w:rsid w:val="00425D55"/>
    <w:rsid w:val="00425F39"/>
    <w:rsid w:val="0043747E"/>
    <w:rsid w:val="00437F4A"/>
    <w:rsid w:val="004412BA"/>
    <w:rsid w:val="00441DF2"/>
    <w:rsid w:val="004426EA"/>
    <w:rsid w:val="00453852"/>
    <w:rsid w:val="004554ED"/>
    <w:rsid w:val="00456CF4"/>
    <w:rsid w:val="00465F3B"/>
    <w:rsid w:val="00471319"/>
    <w:rsid w:val="004736C9"/>
    <w:rsid w:val="00482CD0"/>
    <w:rsid w:val="00483A85"/>
    <w:rsid w:val="00496AFE"/>
    <w:rsid w:val="004A0F35"/>
    <w:rsid w:val="004B07A7"/>
    <w:rsid w:val="004B4866"/>
    <w:rsid w:val="004B4B84"/>
    <w:rsid w:val="004C1769"/>
    <w:rsid w:val="004C43FD"/>
    <w:rsid w:val="004C6E0B"/>
    <w:rsid w:val="004C7F77"/>
    <w:rsid w:val="004E1E70"/>
    <w:rsid w:val="004E617C"/>
    <w:rsid w:val="004F0C84"/>
    <w:rsid w:val="004F0F99"/>
    <w:rsid w:val="004F5F79"/>
    <w:rsid w:val="005139F5"/>
    <w:rsid w:val="005141F6"/>
    <w:rsid w:val="0051422A"/>
    <w:rsid w:val="00515F08"/>
    <w:rsid w:val="0053064F"/>
    <w:rsid w:val="005320E5"/>
    <w:rsid w:val="00534F69"/>
    <w:rsid w:val="00544D5D"/>
    <w:rsid w:val="005523B8"/>
    <w:rsid w:val="005605E4"/>
    <w:rsid w:val="0056091F"/>
    <w:rsid w:val="005646BD"/>
    <w:rsid w:val="00565B92"/>
    <w:rsid w:val="00565E68"/>
    <w:rsid w:val="00572CDA"/>
    <w:rsid w:val="005748DE"/>
    <w:rsid w:val="005835D3"/>
    <w:rsid w:val="00585654"/>
    <w:rsid w:val="005B56DC"/>
    <w:rsid w:val="005C3730"/>
    <w:rsid w:val="005C6820"/>
    <w:rsid w:val="005D0DA7"/>
    <w:rsid w:val="005D333A"/>
    <w:rsid w:val="005D3546"/>
    <w:rsid w:val="005E1526"/>
    <w:rsid w:val="005F428E"/>
    <w:rsid w:val="00606753"/>
    <w:rsid w:val="00627DD3"/>
    <w:rsid w:val="00646D4A"/>
    <w:rsid w:val="00651979"/>
    <w:rsid w:val="006534BE"/>
    <w:rsid w:val="00653CA8"/>
    <w:rsid w:val="0065421C"/>
    <w:rsid w:val="00654C15"/>
    <w:rsid w:val="0065554C"/>
    <w:rsid w:val="00662A39"/>
    <w:rsid w:val="00671459"/>
    <w:rsid w:val="00671FEC"/>
    <w:rsid w:val="0067326F"/>
    <w:rsid w:val="006848B6"/>
    <w:rsid w:val="00691DF2"/>
    <w:rsid w:val="0069720C"/>
    <w:rsid w:val="006A1131"/>
    <w:rsid w:val="006A4CF5"/>
    <w:rsid w:val="006C2FA4"/>
    <w:rsid w:val="006C46B4"/>
    <w:rsid w:val="006D4043"/>
    <w:rsid w:val="006E55A5"/>
    <w:rsid w:val="006E73D8"/>
    <w:rsid w:val="006F023E"/>
    <w:rsid w:val="00701BC5"/>
    <w:rsid w:val="00702799"/>
    <w:rsid w:val="00704ABE"/>
    <w:rsid w:val="007069A6"/>
    <w:rsid w:val="00710C66"/>
    <w:rsid w:val="00710F56"/>
    <w:rsid w:val="0072250D"/>
    <w:rsid w:val="00723B81"/>
    <w:rsid w:val="00724AA4"/>
    <w:rsid w:val="007251F5"/>
    <w:rsid w:val="00727F25"/>
    <w:rsid w:val="007336C3"/>
    <w:rsid w:val="00737F28"/>
    <w:rsid w:val="00741357"/>
    <w:rsid w:val="00752E77"/>
    <w:rsid w:val="0075399D"/>
    <w:rsid w:val="00757DE0"/>
    <w:rsid w:val="00761AF8"/>
    <w:rsid w:val="00775607"/>
    <w:rsid w:val="0077716F"/>
    <w:rsid w:val="00791FD3"/>
    <w:rsid w:val="00794799"/>
    <w:rsid w:val="007C0C3B"/>
    <w:rsid w:val="007C272E"/>
    <w:rsid w:val="007C43A6"/>
    <w:rsid w:val="007D29A7"/>
    <w:rsid w:val="007D3E84"/>
    <w:rsid w:val="007D7478"/>
    <w:rsid w:val="007E5314"/>
    <w:rsid w:val="007F084B"/>
    <w:rsid w:val="007F209C"/>
    <w:rsid w:val="00804426"/>
    <w:rsid w:val="00830ABF"/>
    <w:rsid w:val="00836AB7"/>
    <w:rsid w:val="0084320F"/>
    <w:rsid w:val="008504CA"/>
    <w:rsid w:val="00851E08"/>
    <w:rsid w:val="00852755"/>
    <w:rsid w:val="00853A8E"/>
    <w:rsid w:val="008579FA"/>
    <w:rsid w:val="00870BB7"/>
    <w:rsid w:val="00877FCF"/>
    <w:rsid w:val="0088480F"/>
    <w:rsid w:val="00891C85"/>
    <w:rsid w:val="0089790D"/>
    <w:rsid w:val="008A0B16"/>
    <w:rsid w:val="008A661B"/>
    <w:rsid w:val="008A7E31"/>
    <w:rsid w:val="008C7BE6"/>
    <w:rsid w:val="008E0D53"/>
    <w:rsid w:val="008F7D82"/>
    <w:rsid w:val="00913151"/>
    <w:rsid w:val="0093374D"/>
    <w:rsid w:val="009371E6"/>
    <w:rsid w:val="00946292"/>
    <w:rsid w:val="00947F32"/>
    <w:rsid w:val="009549A7"/>
    <w:rsid w:val="00960390"/>
    <w:rsid w:val="00966638"/>
    <w:rsid w:val="00972B0F"/>
    <w:rsid w:val="0097779F"/>
    <w:rsid w:val="00977A96"/>
    <w:rsid w:val="00986423"/>
    <w:rsid w:val="00993056"/>
    <w:rsid w:val="00995437"/>
    <w:rsid w:val="009A66DA"/>
    <w:rsid w:val="009A7A89"/>
    <w:rsid w:val="009B520F"/>
    <w:rsid w:val="009C4DDD"/>
    <w:rsid w:val="009C539B"/>
    <w:rsid w:val="009C6AC9"/>
    <w:rsid w:val="009D5C1A"/>
    <w:rsid w:val="009E2533"/>
    <w:rsid w:val="009E2BDF"/>
    <w:rsid w:val="009F0B20"/>
    <w:rsid w:val="00A016DD"/>
    <w:rsid w:val="00A1314E"/>
    <w:rsid w:val="00A40E5B"/>
    <w:rsid w:val="00A42285"/>
    <w:rsid w:val="00A436D4"/>
    <w:rsid w:val="00A46DCB"/>
    <w:rsid w:val="00A57F7E"/>
    <w:rsid w:val="00A65B73"/>
    <w:rsid w:val="00A66643"/>
    <w:rsid w:val="00A715D3"/>
    <w:rsid w:val="00A71B62"/>
    <w:rsid w:val="00A73638"/>
    <w:rsid w:val="00A769CA"/>
    <w:rsid w:val="00A771A7"/>
    <w:rsid w:val="00A801F5"/>
    <w:rsid w:val="00A83276"/>
    <w:rsid w:val="00A84C21"/>
    <w:rsid w:val="00A85EDF"/>
    <w:rsid w:val="00A872A3"/>
    <w:rsid w:val="00A942CF"/>
    <w:rsid w:val="00A9798F"/>
    <w:rsid w:val="00A97C00"/>
    <w:rsid w:val="00AA6E3F"/>
    <w:rsid w:val="00AB0540"/>
    <w:rsid w:val="00AC0006"/>
    <w:rsid w:val="00AC65D8"/>
    <w:rsid w:val="00AD6E0A"/>
    <w:rsid w:val="00AE1068"/>
    <w:rsid w:val="00AF02DE"/>
    <w:rsid w:val="00AF38F6"/>
    <w:rsid w:val="00AF3A56"/>
    <w:rsid w:val="00AF5645"/>
    <w:rsid w:val="00B0408B"/>
    <w:rsid w:val="00B1682B"/>
    <w:rsid w:val="00B25FDD"/>
    <w:rsid w:val="00B263A9"/>
    <w:rsid w:val="00B33485"/>
    <w:rsid w:val="00B35C8F"/>
    <w:rsid w:val="00B415DE"/>
    <w:rsid w:val="00B51E99"/>
    <w:rsid w:val="00B524F8"/>
    <w:rsid w:val="00B672DC"/>
    <w:rsid w:val="00B71E68"/>
    <w:rsid w:val="00B72419"/>
    <w:rsid w:val="00B756D1"/>
    <w:rsid w:val="00B82EDD"/>
    <w:rsid w:val="00BA1336"/>
    <w:rsid w:val="00BA1D8D"/>
    <w:rsid w:val="00BB4744"/>
    <w:rsid w:val="00BB6408"/>
    <w:rsid w:val="00BB760F"/>
    <w:rsid w:val="00BC3E31"/>
    <w:rsid w:val="00BC53DD"/>
    <w:rsid w:val="00BC7C7C"/>
    <w:rsid w:val="00BE5255"/>
    <w:rsid w:val="00BF7C65"/>
    <w:rsid w:val="00C13C96"/>
    <w:rsid w:val="00C1401F"/>
    <w:rsid w:val="00C149DA"/>
    <w:rsid w:val="00C21E41"/>
    <w:rsid w:val="00C32769"/>
    <w:rsid w:val="00C330A9"/>
    <w:rsid w:val="00C46984"/>
    <w:rsid w:val="00C66BC2"/>
    <w:rsid w:val="00C93043"/>
    <w:rsid w:val="00CA6B53"/>
    <w:rsid w:val="00CB0AEE"/>
    <w:rsid w:val="00CB135A"/>
    <w:rsid w:val="00CB7C00"/>
    <w:rsid w:val="00CC1D45"/>
    <w:rsid w:val="00CC3275"/>
    <w:rsid w:val="00CC7097"/>
    <w:rsid w:val="00CC714A"/>
    <w:rsid w:val="00CD0405"/>
    <w:rsid w:val="00CD24D0"/>
    <w:rsid w:val="00CD32C8"/>
    <w:rsid w:val="00CD6C8D"/>
    <w:rsid w:val="00CF05BC"/>
    <w:rsid w:val="00D020E0"/>
    <w:rsid w:val="00D166BE"/>
    <w:rsid w:val="00D16D5B"/>
    <w:rsid w:val="00D2514E"/>
    <w:rsid w:val="00D349E8"/>
    <w:rsid w:val="00D35666"/>
    <w:rsid w:val="00D374D2"/>
    <w:rsid w:val="00D45B82"/>
    <w:rsid w:val="00D46B1F"/>
    <w:rsid w:val="00D61025"/>
    <w:rsid w:val="00D7229C"/>
    <w:rsid w:val="00D76479"/>
    <w:rsid w:val="00D846C3"/>
    <w:rsid w:val="00D93B4B"/>
    <w:rsid w:val="00D948D8"/>
    <w:rsid w:val="00DA005E"/>
    <w:rsid w:val="00DB367A"/>
    <w:rsid w:val="00DB46A0"/>
    <w:rsid w:val="00DB7AEB"/>
    <w:rsid w:val="00DC164B"/>
    <w:rsid w:val="00DD703F"/>
    <w:rsid w:val="00DE2CB7"/>
    <w:rsid w:val="00DF1BC1"/>
    <w:rsid w:val="00E003AB"/>
    <w:rsid w:val="00E03896"/>
    <w:rsid w:val="00E147BD"/>
    <w:rsid w:val="00E20DC0"/>
    <w:rsid w:val="00E236F6"/>
    <w:rsid w:val="00E25078"/>
    <w:rsid w:val="00E344B0"/>
    <w:rsid w:val="00E34896"/>
    <w:rsid w:val="00E50CD8"/>
    <w:rsid w:val="00E70DBC"/>
    <w:rsid w:val="00E73963"/>
    <w:rsid w:val="00E83DC2"/>
    <w:rsid w:val="00E85FAC"/>
    <w:rsid w:val="00E96E40"/>
    <w:rsid w:val="00EA4C53"/>
    <w:rsid w:val="00EB78F0"/>
    <w:rsid w:val="00EC74C2"/>
    <w:rsid w:val="00ED2617"/>
    <w:rsid w:val="00ED2947"/>
    <w:rsid w:val="00ED3C53"/>
    <w:rsid w:val="00ED44FF"/>
    <w:rsid w:val="00ED68CD"/>
    <w:rsid w:val="00EF08AB"/>
    <w:rsid w:val="00EF2AAC"/>
    <w:rsid w:val="00EF4DB9"/>
    <w:rsid w:val="00EF5796"/>
    <w:rsid w:val="00F0321E"/>
    <w:rsid w:val="00F04884"/>
    <w:rsid w:val="00F164F0"/>
    <w:rsid w:val="00F21B3F"/>
    <w:rsid w:val="00F27A4D"/>
    <w:rsid w:val="00F33068"/>
    <w:rsid w:val="00F36AC1"/>
    <w:rsid w:val="00F37297"/>
    <w:rsid w:val="00F47FF9"/>
    <w:rsid w:val="00F54AA2"/>
    <w:rsid w:val="00F55849"/>
    <w:rsid w:val="00F56066"/>
    <w:rsid w:val="00F65D14"/>
    <w:rsid w:val="00F822CD"/>
    <w:rsid w:val="00F8770F"/>
    <w:rsid w:val="00FA672B"/>
    <w:rsid w:val="00FC107C"/>
    <w:rsid w:val="00FC3AC2"/>
    <w:rsid w:val="00FC5A1F"/>
    <w:rsid w:val="00FC63A7"/>
    <w:rsid w:val="00FE06ED"/>
    <w:rsid w:val="00FF2AA1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7F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A49"/>
    <w:pPr>
      <w:jc w:val="both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10C66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304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876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306A49"/>
    <w:pPr>
      <w:keepNext/>
      <w:numPr>
        <w:ilvl w:val="3"/>
        <w:numId w:val="1"/>
      </w:numPr>
      <w:tabs>
        <w:tab w:val="clear" w:pos="864"/>
        <w:tab w:val="left" w:pos="1418"/>
      </w:tabs>
      <w:spacing w:before="240" w:after="60"/>
      <w:outlineLvl w:val="3"/>
    </w:pPr>
    <w:rPr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C930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9304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9304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930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9304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iel">
    <w:name w:val="Ziel"/>
    <w:basedOn w:val="Standard"/>
    <w:next w:val="Standard"/>
    <w:link w:val="ZielZchn"/>
    <w:rsid w:val="0068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567" w:right="567"/>
    </w:pPr>
    <w:rPr>
      <w:i/>
      <w:szCs w:val="20"/>
    </w:rPr>
  </w:style>
  <w:style w:type="paragraph" w:styleId="Titel">
    <w:name w:val="Title"/>
    <w:basedOn w:val="Standard"/>
    <w:qFormat/>
    <w:rsid w:val="002B67E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Iel">
    <w:name w:val="Iel"/>
    <w:basedOn w:val="Standard"/>
    <w:rsid w:val="00BA1336"/>
    <w:rPr>
      <w:lang w:val="en-US"/>
    </w:rPr>
  </w:style>
  <w:style w:type="paragraph" w:styleId="Kopfzeile">
    <w:name w:val="header"/>
    <w:basedOn w:val="Standard"/>
    <w:rsid w:val="002A38F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A38F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A38F5"/>
  </w:style>
  <w:style w:type="paragraph" w:styleId="Verzeichnis2">
    <w:name w:val="toc 2"/>
    <w:basedOn w:val="Standard"/>
    <w:next w:val="Standard"/>
    <w:autoRedefine/>
    <w:uiPriority w:val="39"/>
    <w:rsid w:val="00A942CF"/>
    <w:pPr>
      <w:ind w:left="240"/>
    </w:pPr>
  </w:style>
  <w:style w:type="paragraph" w:styleId="Verzeichnis1">
    <w:name w:val="toc 1"/>
    <w:basedOn w:val="Standard"/>
    <w:next w:val="Standard"/>
    <w:autoRedefine/>
    <w:uiPriority w:val="39"/>
    <w:rsid w:val="00AE1068"/>
    <w:pPr>
      <w:tabs>
        <w:tab w:val="left" w:pos="480"/>
        <w:tab w:val="right" w:leader="dot" w:pos="9062"/>
      </w:tabs>
    </w:pPr>
    <w:rPr>
      <w:noProof/>
      <w:u w:color="999999"/>
    </w:rPr>
  </w:style>
  <w:style w:type="paragraph" w:styleId="Verzeichnis3">
    <w:name w:val="toc 3"/>
    <w:basedOn w:val="Standard"/>
    <w:next w:val="Standard"/>
    <w:autoRedefine/>
    <w:uiPriority w:val="39"/>
    <w:rsid w:val="00A942CF"/>
    <w:pPr>
      <w:ind w:left="480"/>
    </w:pPr>
  </w:style>
  <w:style w:type="character" w:styleId="Link">
    <w:name w:val="Hyperlink"/>
    <w:basedOn w:val="Absatz-Standardschriftart"/>
    <w:uiPriority w:val="99"/>
    <w:rsid w:val="00A942CF"/>
    <w:rPr>
      <w:color w:val="0000FF"/>
      <w:u w:val="single"/>
    </w:rPr>
  </w:style>
  <w:style w:type="paragraph" w:styleId="Funotentext">
    <w:name w:val="footnote text"/>
    <w:basedOn w:val="Standard"/>
    <w:semiHidden/>
    <w:rsid w:val="00453852"/>
    <w:rPr>
      <w:szCs w:val="20"/>
    </w:rPr>
  </w:style>
  <w:style w:type="character" w:styleId="Funotenzeichen">
    <w:name w:val="footnote reference"/>
    <w:basedOn w:val="Absatz-Standardschriftart"/>
    <w:semiHidden/>
    <w:rsid w:val="00453852"/>
    <w:rPr>
      <w:vertAlign w:val="superscript"/>
    </w:rPr>
  </w:style>
  <w:style w:type="paragraph" w:styleId="Sprechblasentext">
    <w:name w:val="Balloon Text"/>
    <w:basedOn w:val="Standard"/>
    <w:semiHidden/>
    <w:rsid w:val="00ED2617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DB7AEB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AC000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rsid w:val="00287644"/>
    <w:rPr>
      <w:rFonts w:ascii="Arial" w:hAnsi="Arial" w:cs="Arial"/>
      <w:b/>
      <w:bCs/>
      <w:sz w:val="28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A0B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A0B1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A0B1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A0B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A0B1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8A0B16"/>
    <w:rPr>
      <w:rFonts w:ascii="Arial" w:hAnsi="Arial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170785"/>
    <w:rPr>
      <w:color w:val="800080" w:themeColor="followedHyperlink"/>
      <w:u w:val="single"/>
    </w:rPr>
  </w:style>
  <w:style w:type="paragraph" w:customStyle="1" w:styleId="Notiz">
    <w:name w:val="Notiz"/>
    <w:basedOn w:val="Ziel"/>
    <w:link w:val="NotizZchn"/>
    <w:qFormat/>
    <w:rsid w:val="00E73963"/>
  </w:style>
  <w:style w:type="character" w:customStyle="1" w:styleId="ZielZchn">
    <w:name w:val="Ziel Zchn"/>
    <w:basedOn w:val="Absatz-Standardschriftart"/>
    <w:link w:val="Ziel"/>
    <w:rsid w:val="00E73963"/>
    <w:rPr>
      <w:rFonts w:ascii="Arial" w:hAnsi="Arial"/>
      <w:i/>
    </w:rPr>
  </w:style>
  <w:style w:type="character" w:customStyle="1" w:styleId="NotizZchn">
    <w:name w:val="Notiz Zchn"/>
    <w:basedOn w:val="ZielZchn"/>
    <w:link w:val="Notiz"/>
    <w:rsid w:val="00E73963"/>
    <w:rPr>
      <w:rFonts w:ascii="Arial" w:hAnsi="Arial"/>
      <w:i/>
    </w:rPr>
  </w:style>
  <w:style w:type="paragraph" w:styleId="Listenabsatz">
    <w:name w:val="List Paragraph"/>
    <w:basedOn w:val="Standard"/>
    <w:uiPriority w:val="34"/>
    <w:qFormat/>
    <w:rsid w:val="00ED68CD"/>
    <w:pPr>
      <w:ind w:left="720"/>
      <w:contextualSpacing/>
    </w:pPr>
  </w:style>
  <w:style w:type="character" w:customStyle="1" w:styleId="hps">
    <w:name w:val="hps"/>
    <w:basedOn w:val="Absatz-Standardschriftart"/>
    <w:rsid w:val="0038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39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3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1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08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14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3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28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80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369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48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67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4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2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4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7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4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3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7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5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74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22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6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82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6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86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28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05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5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5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9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7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0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01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76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7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72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91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5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44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1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0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00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76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9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18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78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69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03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4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50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09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0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8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74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2DAC3A5B-9F5C-5C4E-9E3E-B8145E9A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807</Words>
  <Characters>5088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Universität Duisburg-Essen</Company>
  <LinksUpToDate>false</LinksUpToDate>
  <CharactersWithSpaces>5884</CharactersWithSpaces>
  <SharedDoc>false</SharedDoc>
  <HLinks>
    <vt:vector size="204" baseType="variant">
      <vt:variant>
        <vt:i4>1245242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_Toc71521394</vt:lpwstr>
      </vt:variant>
      <vt:variant>
        <vt:i4>1310778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_Toc71521393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_Toc71521392</vt:lpwstr>
      </vt:variant>
      <vt:variant>
        <vt:i4>1441850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_Toc71521391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_Toc71521390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_Toc71521389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_Toc71521388</vt:lpwstr>
      </vt:variant>
      <vt:variant>
        <vt:i4>1048635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_Toc71521387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_Toc71521386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_Toc71521381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_Toc71521380</vt:lpwstr>
      </vt:variant>
      <vt:variant>
        <vt:i4>1966132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_Toc71521379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_Toc71521378</vt:lpwstr>
      </vt:variant>
      <vt:variant>
        <vt:i4>1048628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_Toc71521377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_Toc71521376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_Toc71521375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_Toc71521374</vt:lpwstr>
      </vt:variant>
      <vt:variant>
        <vt:i4>3014767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_Beispiel:_Auftragsposition</vt:lpwstr>
      </vt:variant>
      <vt:variant>
        <vt:i4>5439491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_Beispiel:_Auftragsdatensatz</vt:lpwstr>
      </vt:variant>
      <vt:variant>
        <vt:i4>4653071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_Beispiel:_Benutzerdaten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_Datenmodell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_Toc71521373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_Toc71521372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_Toc71521371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_Toc71521370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_Toc71521369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_Toc71521368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_Toc71521367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_Toc71521366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_Toc71521365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_Toc71521364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_Toc71521363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_Toc71521362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_Toc71521361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Kim Lauenroth</dc:creator>
  <cp:lastModifiedBy>Sami Khatif</cp:lastModifiedBy>
  <cp:revision>3</cp:revision>
  <cp:lastPrinted>2016-04-29T21:24:00Z</cp:lastPrinted>
  <dcterms:created xsi:type="dcterms:W3CDTF">2016-04-29T21:24:00Z</dcterms:created>
  <dcterms:modified xsi:type="dcterms:W3CDTF">2016-04-29T21:24:00Z</dcterms:modified>
</cp:coreProperties>
</file>