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513A89">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513A89">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513A89">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513A89">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513A89">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513A89">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513A89">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513A89">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513A89">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513A89">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513A89">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513A89">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513A89">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513A89">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513A89">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513A89">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513A89">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513A89">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513A89">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513A89">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513A89">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513A89">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513A89">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513A89">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513A89">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513A89">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513A89">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513A89">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513A89">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513A89">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513A89">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513A89">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513A89">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513A89">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513A89">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513A89">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513A89">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513A89">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513A89">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513A89">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513A89">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513A89">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513A89">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513A89">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513A89">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513A89">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513A89">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513A89">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513A89">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513A89">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513A89">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513A89">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F373D3">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F373D3">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F373D3">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lang w:eastAsia="ja-JP"/>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4D4400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sendet die physikalischen Aktionen an das Spielfeld.</w:t>
      </w:r>
    </w:p>
    <w:p w14:paraId="2794ED97" w14:textId="7DAA2848" w:rsidR="00283779"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Der Prozess sendet aktualisierte Positions</w:t>
      </w:r>
      <w:r w:rsidR="00265415">
        <w:t>- und Lauf</w:t>
      </w:r>
      <w:r>
        <w:t>daten an das virtuelle Spielfeld und an die Eigenschaften der Roboter.</w:t>
      </w:r>
    </w:p>
    <w:p w14:paraId="176B8A68" w14:textId="77777777" w:rsidR="00283779" w:rsidRDefault="00283779" w:rsidP="00283779">
      <w:r>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CB06576"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C452E9">
        <w:t>eine Anzeige des Spielfeldes</w:t>
      </w:r>
      <w:r>
        <w:t xml:space="preserve"> um.</w:t>
      </w:r>
    </w:p>
    <w:p w14:paraId="2E5A3EB7" w14:textId="737A015F"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C452E9">
        <w:t>sendet die Anzeige des Spielfeldes an den Nutzer.</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273DF86D"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an die Anzeige des Spielfeldes.</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1517BBCA" w14:textId="46711276"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w:t>
      </w:r>
      <w:r w:rsidR="00265415">
        <w:t>,</w:t>
      </w:r>
      <w:r>
        <w:t xml:space="preserve"> in welche Richtung </w:t>
      </w:r>
      <w:r w:rsidR="00265415">
        <w:t>sich d</w:t>
      </w:r>
      <w:r>
        <w:t>er</w:t>
      </w:r>
      <w:r w:rsidR="00265415">
        <w:t xml:space="preserve"> Geist </w:t>
      </w:r>
      <w:r>
        <w:t>bewegt.</w:t>
      </w:r>
      <w:bookmarkStart w:id="50" w:name="_GoBack"/>
      <w:bookmarkEnd w:id="50"/>
    </w:p>
    <w:p w14:paraId="05F78A1E" w14:textId="7E6D8DCC"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 wandelt die Richtungsanweisungen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566BEAA3"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w:t>
      </w:r>
      <w:r w:rsidR="00265415">
        <w:t>- und Lauf</w:t>
      </w:r>
      <w:r>
        <w:t>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lastRenderedPageBreak/>
        <w:t>hMSC</w:t>
      </w:r>
      <w:bookmarkStart w:id="67" w:name="Bookmark28"/>
      <w:bookmarkEnd w:id="66"/>
      <w:bookmarkEnd w:id="67"/>
    </w:p>
    <w:p w14:paraId="23CC18B4" w14:textId="56C1577D" w:rsidR="00B52CF9" w:rsidRDefault="00EB11CE">
      <w:pPr>
        <w:jc w:val="left"/>
      </w:pPr>
      <w:r>
        <w:rPr>
          <w:noProof/>
          <w:lang w:eastAsia="ja-JP"/>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F1410" w14:textId="77777777" w:rsidR="009C775E" w:rsidRDefault="009C775E">
      <w:r>
        <w:separator/>
      </w:r>
    </w:p>
  </w:endnote>
  <w:endnote w:type="continuationSeparator" w:id="0">
    <w:p w14:paraId="6C390CB7" w14:textId="77777777" w:rsidR="009C775E" w:rsidRDefault="009C7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2526D60" w:rsidR="00513A89" w:rsidRDefault="00513A8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F373D3">
      <w:rPr>
        <w:noProof/>
      </w:rPr>
      <w:t>21</w:t>
    </w:r>
    <w:r>
      <w:fldChar w:fldCharType="end"/>
    </w:r>
    <w:r>
      <w:rPr>
        <w:rStyle w:val="Seitenzahl"/>
      </w:rPr>
      <w:t xml:space="preserve"> von </w:t>
    </w:r>
    <w:fldSimple w:instr=" NUMPAGES ">
      <w:r w:rsidR="00F373D3">
        <w:rPr>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A969A" w14:textId="77777777" w:rsidR="009C775E" w:rsidRDefault="009C775E">
      <w:r>
        <w:rPr>
          <w:color w:val="000000"/>
        </w:rPr>
        <w:separator/>
      </w:r>
    </w:p>
  </w:footnote>
  <w:footnote w:type="continuationSeparator" w:id="0">
    <w:p w14:paraId="7DCE566A" w14:textId="77777777" w:rsidR="009C775E" w:rsidRDefault="009C775E">
      <w:r>
        <w:continuationSeparator/>
      </w:r>
    </w:p>
  </w:footnote>
  <w:footnote w:id="1">
    <w:p w14:paraId="14D28D10" w14:textId="77777777" w:rsidR="00513A89" w:rsidRPr="00BD7229" w:rsidRDefault="00513A8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23B04"/>
    <w:rsid w:val="001471C9"/>
    <w:rsid w:val="0018135E"/>
    <w:rsid w:val="00184F0F"/>
    <w:rsid w:val="001E2220"/>
    <w:rsid w:val="00225904"/>
    <w:rsid w:val="00265415"/>
    <w:rsid w:val="00283779"/>
    <w:rsid w:val="003A3A70"/>
    <w:rsid w:val="003B2F42"/>
    <w:rsid w:val="003E2113"/>
    <w:rsid w:val="00410536"/>
    <w:rsid w:val="00441B11"/>
    <w:rsid w:val="00476EAD"/>
    <w:rsid w:val="004F3B10"/>
    <w:rsid w:val="00513A89"/>
    <w:rsid w:val="00527DBE"/>
    <w:rsid w:val="00540D7E"/>
    <w:rsid w:val="00661D47"/>
    <w:rsid w:val="00692332"/>
    <w:rsid w:val="00757B2D"/>
    <w:rsid w:val="007636B1"/>
    <w:rsid w:val="0079738A"/>
    <w:rsid w:val="007B4EAD"/>
    <w:rsid w:val="007E7E31"/>
    <w:rsid w:val="008608F2"/>
    <w:rsid w:val="0086496E"/>
    <w:rsid w:val="008D4011"/>
    <w:rsid w:val="00926572"/>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871A5"/>
    <w:rsid w:val="00E3562C"/>
    <w:rsid w:val="00E41098"/>
    <w:rsid w:val="00E42DE3"/>
    <w:rsid w:val="00E44819"/>
    <w:rsid w:val="00E541D9"/>
    <w:rsid w:val="00EB11CE"/>
    <w:rsid w:val="00EE2069"/>
    <w:rsid w:val="00F26AA8"/>
    <w:rsid w:val="00F27554"/>
    <w:rsid w:val="00F34540"/>
    <w:rsid w:val="00F373D3"/>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3843</Words>
  <Characters>24217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4</cp:revision>
  <cp:lastPrinted>2016-05-08T11:26:00Z</cp:lastPrinted>
  <dcterms:created xsi:type="dcterms:W3CDTF">2016-05-08T11:25:00Z</dcterms:created>
  <dcterms:modified xsi:type="dcterms:W3CDTF">2016-05-08T11:26:00Z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