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60" w:lineRule="auto"/>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Revised Paper Architecture (v3) — Ex-Ante Evaluation Framing</w:t>
      </w:r>
    </w:p>
    <w:p w:rsidR="00000000" w:rsidDel="00000000" w:rsidP="00000000" w:rsidRDefault="00000000" w:rsidRPr="00000000" w14:paraId="00000002">
      <w:pPr>
        <w:spacing w:after="240" w:line="360" w:lineRule="auto"/>
        <w:rPr>
          <w:rFonts w:ascii="Times New Roman" w:cs="Times New Roman" w:eastAsia="Times New Roman" w:hAnsi="Times New Roman"/>
          <w:i w:val="1"/>
          <w:iCs w:val="1"/>
          <w:color w:val="595959"/>
          <w:sz w:val="24"/>
          <w:szCs w:val="24"/>
        </w:rPr>
      </w:pPr>
      <w:r w:rsidDel="00000000" w:rsidR="00000000" w:rsidRPr="00000000">
        <w:rPr>
          <w:rFonts w:ascii="Times New Roman" w:cs="Times New Roman" w:eastAsia="Times New Roman" w:hAnsi="Times New Roman"/>
          <w:i w:val="1"/>
          <w:iCs w:val="1"/>
          <w:color w:val="595959"/>
          <w:sz w:val="24"/>
          <w:szCs w:val="24"/>
          <w:rtl w:val="0"/>
        </w:rPr>
        <w:t xml:space="preserve">Digital Transformation of the RFQ Process in Commercial Pump Distribution — INSEAD EMBA Final Project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Narrative device </w:t>
      </w:r>
      <w:r w:rsidDel="00000000" w:rsidR="00000000" w:rsidRPr="00000000">
        <w:rPr>
          <w:rFonts w:ascii="Times New Roman" w:cs="Times New Roman" w:eastAsia="Times New Roman" w:hAnsi="Times New Roman"/>
          <w:sz w:val="24"/>
          <w:szCs w:val="24"/>
          <w:rtl w:val="0"/>
        </w:rPr>
        <w:t xml:space="preserve">one real, anonymized RFQ —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Innovo Contracting for Guggenheim Museum in Abu Dhabi</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 opens the paper (2.0), is traced through the As-Is process with real timestamps (4.5), is re-run as a </w:t>
      </w:r>
      <w:r w:rsidDel="00000000" w:rsidR="00000000" w:rsidRPr="00000000">
        <w:rPr>
          <w:rFonts w:ascii="Times New Roman" w:cs="Times New Roman" w:eastAsia="Times New Roman" w:hAnsi="Times New Roman"/>
          <w:b w:val="1"/>
          <w:bCs w:val="1"/>
          <w:sz w:val="24"/>
          <w:szCs w:val="24"/>
          <w:rtl w:val="0"/>
        </w:rPr>
        <w:t xml:space="preserve">simulated scenario</w:t>
      </w:r>
      <w:r w:rsidDel="00000000" w:rsidR="00000000" w:rsidRPr="00000000">
        <w:rPr>
          <w:rFonts w:ascii="Times New Roman" w:cs="Times New Roman" w:eastAsia="Times New Roman" w:hAnsi="Times New Roman"/>
          <w:sz w:val="24"/>
          <w:szCs w:val="24"/>
          <w:rtl w:val="0"/>
        </w:rPr>
        <w:t xml:space="preserve"> through the proposed design (7.8), anchors the feasibility audit (8.1), and is priced in the financial model (9.6). In the To-Be scenes, label it explicitly: “a simulated walk-through under the assumptions of Section 8.” The story survives the reframing intact — it simply changes tense halfway through, which is itself an elegant structural signal.</w:t>
      </w:r>
    </w:p>
    <w:p w:rsidR="00000000" w:rsidDel="00000000" w:rsidP="00000000" w:rsidRDefault="00000000" w:rsidRPr="00000000" w14:paraId="00000004">
      <w:pPr>
        <w:pStyle w:val="Heading1"/>
        <w:keepNext w:val="0"/>
        <w:keepLines w:val="0"/>
        <w:spacing w:after="140" w:before="0" w:line="360" w:lineRule="auto"/>
        <w:rPr>
          <w:rFonts w:ascii="Times New Roman" w:cs="Times New Roman" w:eastAsia="Times New Roman" w:hAnsi="Times New Roman"/>
          <w:b w:val="1"/>
          <w:bCs w:val="1"/>
          <w:color w:val="1f4e5f"/>
          <w:sz w:val="24"/>
          <w:szCs w:val="24"/>
        </w:rPr>
      </w:pPr>
      <w:bookmarkStart w:colFirst="0" w:colLast="0" w:name="_13m7eluzi54f" w:id="0"/>
      <w:bookmarkEnd w:id="0"/>
      <w:r w:rsidDel="00000000" w:rsidR="00000000" w:rsidRPr="00000000">
        <w:rPr>
          <w:rFonts w:ascii="Times New Roman" w:cs="Times New Roman" w:eastAsia="Times New Roman" w:hAnsi="Times New Roman"/>
          <w:b w:val="1"/>
          <w:bCs w:val="1"/>
          <w:color w:val="1f4e5f"/>
          <w:sz w:val="24"/>
          <w:szCs w:val="24"/>
          <w:rtl w:val="0"/>
        </w:rPr>
        <w:t xml:space="preserve">Section 1 — Executive Summary (1 page) — write last</w:t>
      </w:r>
    </w:p>
    <w:p w:rsidR="00000000" w:rsidDel="00000000" w:rsidP="00000000" w:rsidRDefault="00000000" w:rsidRPr="00000000" w14:paraId="00000005">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1.1 </w:t>
      </w:r>
      <w:r w:rsidDel="00000000" w:rsidR="00000000" w:rsidRPr="00000000">
        <w:rPr>
          <w:rFonts w:ascii="Times New Roman" w:cs="Times New Roman" w:eastAsia="Times New Roman" w:hAnsi="Times New Roman"/>
          <w:sz w:val="24"/>
          <w:szCs w:val="24"/>
          <w:rtl w:val="0"/>
        </w:rPr>
        <w:t xml:space="preserve">Problem in one sentence, with the three measured baseline numbers (time, cost, error rate).</w:t>
      </w:r>
    </w:p>
    <w:p w:rsidR="00000000" w:rsidDel="00000000" w:rsidP="00000000" w:rsidRDefault="00000000" w:rsidRPr="00000000" w14:paraId="00000006">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1.2 </w:t>
      </w:r>
      <w:r w:rsidDel="00000000" w:rsidR="00000000" w:rsidRPr="00000000">
        <w:rPr>
          <w:rFonts w:ascii="Times New Roman" w:cs="Times New Roman" w:eastAsia="Times New Roman" w:hAnsi="Times New Roman"/>
          <w:sz w:val="24"/>
          <w:szCs w:val="24"/>
          <w:rtl w:val="0"/>
        </w:rPr>
        <w:t xml:space="preserve">The proposed solution in one sentence, plus the headline feasibility finding (“a structured audit of 30 historical RFQs found X% of extraction fields technically automatable with current document-AI capability; a calibrated process simulation projects median cycle time falling from X days to Y hours”) — evidence-led, but honestly ex-ante.</w:t>
      </w:r>
    </w:p>
    <w:p w:rsidR="00000000" w:rsidDel="00000000" w:rsidP="00000000" w:rsidRDefault="00000000" w:rsidRPr="00000000" w14:paraId="00000007">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1.3 </w:t>
      </w:r>
      <w:r w:rsidDel="00000000" w:rsidR="00000000" w:rsidRPr="00000000">
        <w:rPr>
          <w:rFonts w:ascii="Times New Roman" w:cs="Times New Roman" w:eastAsia="Times New Roman" w:hAnsi="Times New Roman"/>
          <w:sz w:val="24"/>
          <w:szCs w:val="24"/>
          <w:rtl w:val="0"/>
        </w:rPr>
        <w:t xml:space="preserve">Financial headline as a range, not a point: projected NPV (P10 / P50 / P90 from the Monte Carlo in 9.5), payback, and the floor case (“clears the hurdle rate on cost savings alone under conservative assumptions”).</w:t>
      </w:r>
    </w:p>
    <w:p w:rsidR="00000000" w:rsidDel="00000000" w:rsidP="00000000" w:rsidRDefault="00000000" w:rsidRPr="00000000" w14:paraId="00000008">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1.4 </w:t>
      </w:r>
      <w:r w:rsidDel="00000000" w:rsidR="00000000" w:rsidRPr="00000000">
        <w:rPr>
          <w:rFonts w:ascii="Times New Roman" w:cs="Times New Roman" w:eastAsia="Times New Roman" w:hAnsi="Times New Roman"/>
          <w:sz w:val="24"/>
          <w:szCs w:val="24"/>
          <w:rtl w:val="0"/>
        </w:rPr>
        <w:t xml:space="preserve">The strategic claim: transaction data as the distributor’s future moat.</w:t>
      </w:r>
    </w:p>
    <w:p w:rsidR="00000000" w:rsidDel="00000000" w:rsidP="00000000" w:rsidRDefault="00000000" w:rsidRPr="00000000" w14:paraId="00000009">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1.5 </w:t>
      </w:r>
      <w:r w:rsidDel="00000000" w:rsidR="00000000" w:rsidRPr="00000000">
        <w:rPr>
          <w:rFonts w:ascii="Times New Roman" w:cs="Times New Roman" w:eastAsia="Times New Roman" w:hAnsi="Times New Roman"/>
          <w:sz w:val="24"/>
          <w:szCs w:val="24"/>
          <w:rtl w:val="0"/>
        </w:rPr>
        <w:t xml:space="preserve">The actual recommendation — and this framing is critical: not “build the system” but </w:t>
      </w:r>
      <w:r w:rsidDel="00000000" w:rsidR="00000000" w:rsidRPr="00000000">
        <w:rPr>
          <w:rFonts w:ascii="Times New Roman" w:cs="Times New Roman" w:eastAsia="Times New Roman" w:hAnsi="Times New Roman"/>
          <w:b w:val="1"/>
          <w:bCs w:val="1"/>
          <w:sz w:val="24"/>
          <w:szCs w:val="24"/>
          <w:rtl w:val="0"/>
        </w:rPr>
        <w:t xml:space="preserve">“approve a stage-gated pilot investment of € X, with explicit go/no-go criteria at each gate.”</w:t>
      </w:r>
      <w:r w:rsidDel="00000000" w:rsidR="00000000" w:rsidRPr="00000000">
        <w:rPr>
          <w:rFonts w:ascii="Times New Roman" w:cs="Times New Roman" w:eastAsia="Times New Roman" w:hAnsi="Times New Roman"/>
          <w:sz w:val="24"/>
          <w:szCs w:val="24"/>
          <w:rtl w:val="0"/>
        </w:rPr>
        <w:t xml:space="preserve"> An ex-ante paper that recommends a bounded, testable next step is far more credible than one that recommends a rollout.</w:t>
      </w:r>
    </w:p>
    <w:p w:rsidR="00000000" w:rsidDel="00000000" w:rsidP="00000000" w:rsidRDefault="00000000" w:rsidRPr="00000000" w14:paraId="0000000A">
      <w:pPr>
        <w:spacing w:after="12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Test: a professor reading only this page should know exactly what is fact, what is projection, and what decision you are recommending.</w:t>
      </w:r>
    </w:p>
    <w:p w:rsidR="00000000" w:rsidDel="00000000" w:rsidP="00000000" w:rsidRDefault="00000000" w:rsidRPr="00000000" w14:paraId="0000000B">
      <w:pPr>
        <w:pStyle w:val="Heading1"/>
        <w:keepNext w:val="0"/>
        <w:keepLines w:val="0"/>
        <w:spacing w:after="140" w:before="0" w:line="360" w:lineRule="auto"/>
        <w:rPr>
          <w:rFonts w:ascii="Times New Roman" w:cs="Times New Roman" w:eastAsia="Times New Roman" w:hAnsi="Times New Roman"/>
          <w:b w:val="1"/>
          <w:bCs w:val="1"/>
          <w:color w:val="1f4e5f"/>
          <w:sz w:val="24"/>
          <w:szCs w:val="24"/>
        </w:rPr>
      </w:pPr>
      <w:bookmarkStart w:colFirst="0" w:colLast="0" w:name="_4h38woxemizp" w:id="1"/>
      <w:bookmarkEnd w:id="1"/>
      <w:r w:rsidDel="00000000" w:rsidR="00000000" w:rsidRPr="00000000">
        <w:rPr>
          <w:rFonts w:ascii="Times New Roman" w:cs="Times New Roman" w:eastAsia="Times New Roman" w:hAnsi="Times New Roman"/>
          <w:b w:val="1"/>
          <w:bCs w:val="1"/>
          <w:color w:val="1f4e5f"/>
          <w:sz w:val="24"/>
          <w:szCs w:val="24"/>
          <w:rtl w:val="0"/>
        </w:rPr>
        <w:t xml:space="preserve">Section 2 — Introduction &amp; Problem Definition (2.5 pages)</w:t>
      </w:r>
    </w:p>
    <w:p w:rsidR="00000000" w:rsidDel="00000000" w:rsidP="00000000" w:rsidRDefault="00000000" w:rsidRPr="00000000" w14:paraId="0000000C">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831zgvqftfk5" w:id="2"/>
      <w:bookmarkEnd w:id="2"/>
      <w:r w:rsidDel="00000000" w:rsidR="00000000" w:rsidRPr="00000000">
        <w:rPr>
          <w:rFonts w:ascii="Times New Roman" w:cs="Times New Roman" w:eastAsia="Times New Roman" w:hAnsi="Times New Roman"/>
          <w:b w:val="1"/>
          <w:bCs w:val="1"/>
          <w:color w:val="2e6e7e"/>
          <w:sz w:val="24"/>
          <w:szCs w:val="24"/>
          <w:rtl w:val="0"/>
        </w:rPr>
        <w:t xml:space="preserve">2.0 Opening vignette (½ page)</w:t>
      </w:r>
    </w:p>
    <w:p w:rsidR="00000000" w:rsidDel="00000000" w:rsidP="00000000" w:rsidRDefault="00000000" w:rsidRPr="00000000" w14:paraId="0000000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RFQ from Innovo Contracting for Guggenheim Museum in Abu Dhabi lands at M.A.H.Y. Khoory's Abu Dhabi branch on Thursday evening, around 16:30. The scope is large, roughly 75 pumps across five applications, booster, transfer, sewage, circulation, and chilled water. The deadline is the following Tuesday. Innovo is a demanding client and this inquiry is no exception. Khoory is competing against Grundfos, Xylem, Wilo, and Lowara, and against at least one other distributor quoting the same Grundfos range Khoory carries, so this will be won or lost on service and price and speed of the quote as much as on brand.</w:t>
      </w:r>
    </w:p>
    <w:p w:rsidR="00000000" w:rsidDel="00000000" w:rsidP="00000000" w:rsidRDefault="00000000" w:rsidRPr="00000000" w14:paraId="0000000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branch has two estimators. Properly working through an inquiry this size means reading every schedule and specification, checking material of construction, efficiency, pump orientation, and seal type, running head loss calculations for each application, going through the CAD files to confirm routing and layout, and running each selection through the manufacturer software. For 75 pumps across five applications this is close to twenty eight hours of estimating work. From Thursday evening to the Tuesday deadline is only three working days plus a weekend. Line managers bring both estimators in on Saturday and Sunday on overtime, and pull in a third from another desk, to try to close the gap. Even so, the volume is simply too much. Tuesday comes and the quotation is not ready.</w:t>
      </w:r>
    </w:p>
    <w:p w:rsidR="00000000" w:rsidDel="00000000" w:rsidP="00000000" w:rsidRDefault="00000000" w:rsidRPr="00000000" w14:paraId="0000000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quote finally goes out to Innovo two days after the deadline, a full seven calendar days after the inquiry was received. Innovo's senior management escalates straight to Khoory's leadership, and a face to face meeting is needed to smooth things over. Khoory ultimately wins the project, but not on the strength of this quotation alone. The project brings a lot of back and forth given its size, and this is something we return to later in the paper.</w:t>
      </w:r>
    </w:p>
    <w:p w:rsidR="00000000" w:rsidDel="00000000" w:rsidP="00000000" w:rsidRDefault="00000000" w:rsidRPr="00000000" w14:paraId="0000001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3xmxdnp9kqzd" w:id="3"/>
      <w:bookmarkEnd w:id="3"/>
      <w:r w:rsidDel="00000000" w:rsidR="00000000" w:rsidRPr="00000000">
        <w:rPr>
          <w:rFonts w:ascii="Times New Roman" w:cs="Times New Roman" w:eastAsia="Times New Roman" w:hAnsi="Times New Roman"/>
          <w:b w:val="1"/>
          <w:bCs w:val="1"/>
          <w:color w:val="2e6e7e"/>
          <w:sz w:val="24"/>
          <w:szCs w:val="24"/>
          <w:rtl w:val="0"/>
        </w:rPr>
        <w:t xml:space="preserve">2.1 Industry context</w:t>
      </w:r>
    </w:p>
    <w:p w:rsidR="00000000" w:rsidDel="00000000" w:rsidP="00000000" w:rsidRDefault="00000000" w:rsidRPr="00000000" w14:paraId="00000015">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distribution value chain and </w:t>
      </w:r>
      <w:r w:rsidDel="00000000" w:rsidR="00000000" w:rsidRPr="00000000">
        <w:rPr>
          <w:rFonts w:ascii="Times New Roman" w:cs="Times New Roman" w:eastAsia="Times New Roman" w:hAnsi="Times New Roman"/>
          <w:i w:val="1"/>
          <w:iCs w:val="1"/>
          <w:sz w:val="24"/>
          <w:szCs w:val="24"/>
          <w:rtl w:val="0"/>
        </w:rPr>
        <w:t xml:space="preserve">why the distributor exists</w:t>
      </w:r>
      <w:r w:rsidDel="00000000" w:rsidR="00000000" w:rsidRPr="00000000">
        <w:rPr>
          <w:rFonts w:ascii="Times New Roman" w:cs="Times New Roman" w:eastAsia="Times New Roman" w:hAnsi="Times New Roman"/>
          <w:sz w:val="24"/>
          <w:szCs w:val="24"/>
          <w:rtl w:val="0"/>
        </w:rPr>
        <w:t xml:space="preserve">: technical selection expertise, aggregation across manufacturers, credit, local presence. Plant the tension explicitly: “Each of these functions is under pressure from digitization; this paper examines what happens when the most defensible one — technical expertise — becomes automatable.” Do not resolve it here.</w:t>
      </w:r>
      <w:r w:rsidDel="00000000" w:rsidR="00000000" w:rsidRPr="00000000">
        <w:rPr>
          <w:rtl w:val="0"/>
        </w:rPr>
      </w:r>
    </w:p>
    <w:p w:rsidR="00000000" w:rsidDel="00000000" w:rsidP="00000000" w:rsidRDefault="00000000" w:rsidRPr="00000000" w14:paraId="0000001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distributor in this chain exists because the manufacturer cannot do what the distributor does, not economically, and often not at all. The first function is technical expertise. Every RFQ requires reading through consultant specifications, CAD files, and drawings, extracting flow, head, and efficiency requirements, running head loss calculations, and working out which specific model, across a manufacturer's full range, actually fits the site. For larger or more unusual applications, chilled water and booster pumps especially, this can mean going back to the manufacturer for a special quote before pricing the contractor. None of this is generic. A multinational manufacturer sells into dozens of regions, each with its own local requirements, consultant preferences, and site conditions, and cannot build that regional depth itself. That depth is what the distributor provides, and it is exactly the function that nearly failed under pressure in the Innovo inquiry.</w:t>
      </w:r>
    </w:p>
    <w:p w:rsidR="00000000" w:rsidDel="00000000" w:rsidP="00000000" w:rsidRDefault="00000000" w:rsidRPr="00000000" w14:paraId="0000001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function is credit. Multinational manufacturers are not set up to extend payment terms to individual contractors, many of whom carry project-linked terms, bank guarantees, and retentions that shift with each client's requirements. Rather than absorb that risk across dozens of contractors directly, the manufacturer works through one distributor and lets that distributor manage the market and the credit risk on its behalf.</w:t>
      </w:r>
    </w:p>
    <w:p w:rsidR="00000000" w:rsidDel="00000000" w:rsidP="00000000" w:rsidRDefault="00000000" w:rsidRPr="00000000" w14:paraId="0000001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function is local presence, which shows up mainly as after-sales service. Projects need testing and commissioning carried out by someone on the ground, and warranty and guarantee support that a contractor can actually call on when something goes wrong. Manufacturers rely on the distributor for this because contractors trust a local party they can reach, over a multinational head office they cannot.</w:t>
      </w:r>
    </w:p>
    <w:p w:rsidR="00000000" w:rsidDel="00000000" w:rsidP="00000000" w:rsidRDefault="00000000" w:rsidRPr="00000000" w14:paraId="00000019">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the three pillars, technical expertise is the most expensive and the most time consuming to deliver. It needs trained estimators, manufacturer software, and hours of manual work per inquiry, and it is the pillar that broke down under pressure in the Innovo case. Credit and local presence are largely fixed costs of doing business in the market. Technical expertise is not; it scales directly with inquiry volume and complexity. That is why this paper focuses on it. The question is whether technical expertise, the reading, the calculations, the model selection, can be digitized without losing the judgment that makes it valuable. </w:t>
      </w:r>
    </w:p>
    <w:p w:rsidR="00000000" w:rsidDel="00000000" w:rsidP="00000000" w:rsidRDefault="00000000" w:rsidRPr="00000000" w14:paraId="0000001A">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mji9a1smiuen" w:id="4"/>
      <w:bookmarkEnd w:id="4"/>
      <w:r w:rsidDel="00000000" w:rsidR="00000000" w:rsidRPr="00000000">
        <w:rPr>
          <w:rFonts w:ascii="Times New Roman" w:cs="Times New Roman" w:eastAsia="Times New Roman" w:hAnsi="Times New Roman"/>
          <w:b w:val="1"/>
          <w:bCs w:val="1"/>
          <w:color w:val="2e6e7e"/>
          <w:sz w:val="24"/>
          <w:szCs w:val="24"/>
          <w:rtl w:val="0"/>
        </w:rPr>
        <w:t xml:space="preserve">2.2 Problem decomposition</w:t>
      </w:r>
    </w:p>
    <w:p w:rsidR="00000000" w:rsidDel="00000000" w:rsidP="00000000" w:rsidRDefault="00000000" w:rsidRPr="00000000" w14:paraId="0000001C">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measurable dimensions, each with a measured baseline number and its business consequence:</w:t>
      </w:r>
    </w:p>
    <w:p w:rsidR="00000000" w:rsidDel="00000000" w:rsidP="00000000" w:rsidRDefault="00000000" w:rsidRPr="00000000" w14:paraId="0000001D">
      <w:pPr>
        <w:spacing w:after="80" w:line="360" w:lineRule="auto"/>
        <w:ind w:left="700" w:hanging="2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Speed → lost wins (evidence standard set in 4.6 and 9.3)</w:t>
      </w:r>
    </w:p>
    <w:p w:rsidR="00000000" w:rsidDel="00000000" w:rsidP="00000000" w:rsidRDefault="00000000" w:rsidRPr="00000000" w14:paraId="0000001E">
      <w:pPr>
        <w:spacing w:after="80" w:line="360" w:lineRule="auto"/>
        <w:ind w:left="700" w:hanging="2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Cost → engineering capacity as the binding constraint on growth</w:t>
      </w:r>
    </w:p>
    <w:p w:rsidR="00000000" w:rsidDel="00000000" w:rsidP="00000000" w:rsidRDefault="00000000" w:rsidRPr="00000000" w14:paraId="0000001F">
      <w:pPr>
        <w:spacing w:after="80" w:line="360" w:lineRule="auto"/>
        <w:ind w:left="700" w:hanging="2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Quality → error taxonomy preview (full version in 4.4)</w:t>
      </w:r>
      <w:r w:rsidDel="00000000" w:rsidR="00000000" w:rsidRPr="00000000">
        <w:rPr>
          <w:rtl w:val="0"/>
        </w:rPr>
      </w:r>
    </w:p>
    <w:p w:rsidR="00000000" w:rsidDel="00000000" w:rsidP="00000000" w:rsidRDefault="00000000" w:rsidRPr="00000000" w14:paraId="00000020">
      <w:pPr>
        <w:spacing w:after="80" w:line="360" w:lineRule="auto"/>
        <w:ind w:left="700" w:hanging="2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Speed.</w:t>
      </w:r>
      <w:r w:rsidDel="00000000" w:rsidR="00000000" w:rsidRPr="00000000">
        <w:rPr>
          <w:rFonts w:ascii="Times New Roman" w:cs="Times New Roman" w:eastAsia="Times New Roman" w:hAnsi="Times New Roman"/>
          <w:sz w:val="24"/>
          <w:szCs w:val="24"/>
          <w:rtl w:val="0"/>
        </w:rPr>
        <w:t xml:space="preserve"> A standard inquiry, ten to twenty pumps across up to three product types, takes an estimator roughly one full working day: reading the specification and CAD files, running head loss calculations, selecting the model, and pricing it. Large, multi-application inquiries well over one hundred pumps stretch this to four or five working days and require pulling multiple estimators simultaneously, depending on the deadline the project demands, sometimes as tight as two to three days. These large inquiries arrive roughly once a month but cannot be staffed as if routine. Timing costs real business, an estimated 15% of tenders are lost specifically due to late or rushed quotes, concentrated in two situations, smaller or first-time customers where there is no existing relationship to buy patience, and large fast-track projects landing while the team is already stretched on other work.</w:t>
      </w:r>
    </w:p>
    <w:p w:rsidR="00000000" w:rsidDel="00000000" w:rsidP="00000000" w:rsidRDefault="00000000" w:rsidRPr="00000000" w14:paraId="0000002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w:t>
      </w:r>
      <w:r w:rsidDel="00000000" w:rsidR="00000000" w:rsidRPr="00000000">
        <w:rPr>
          <w:rFonts w:ascii="Times New Roman" w:cs="Times New Roman" w:eastAsia="Times New Roman" w:hAnsi="Times New Roman"/>
          <w:sz w:val="24"/>
          <w:szCs w:val="24"/>
          <w:rtl w:val="0"/>
        </w:rPr>
        <w:t xml:space="preserve"> Khoory carries 16 estimators across all branches, each handling roughly 12 RFQs a week. A fully loaded estimator costs the business approximately AED 96,000 a year. Hiring a qualified replacement takes two to three months, and a further three to four months before they are fully productive. Estimator capacity is therefore a hard constraint rather than a soft one: it directly determines how fast the business can take on new sales and new customers, independent of demand.</w:t>
      </w:r>
    </w:p>
    <w:p w:rsidR="00000000" w:rsidDel="00000000" w:rsidP="00000000" w:rsidRDefault="00000000" w:rsidRPr="00000000" w14:paraId="0000002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Quality.</w:t>
      </w:r>
      <w:r w:rsidDel="00000000" w:rsidR="00000000" w:rsidRPr="00000000">
        <w:rPr>
          <w:rFonts w:ascii="Times New Roman" w:cs="Times New Roman" w:eastAsia="Times New Roman" w:hAnsi="Times New Roman"/>
          <w:sz w:val="24"/>
          <w:szCs w:val="24"/>
          <w:rtl w:val="0"/>
        </w:rPr>
        <w:t xml:space="preserve"> Errors are not rare. In a typical quotation covering around ten pump line items, one or two will typically contain a mistake, wrong model selection, wrong pricing, or a missed specification requirement. The full error taxonomy and its cost consequences are developed in Section 4.4.</w:t>
      </w:r>
    </w:p>
    <w:p w:rsidR="00000000" w:rsidDel="00000000" w:rsidP="00000000" w:rsidRDefault="00000000" w:rsidRPr="00000000" w14:paraId="00000024">
      <w:pPr>
        <w:spacing w:after="80" w:line="360" w:lineRule="auto"/>
        <w:ind w:left="700" w:hanging="2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4hk5hujkkzf9" w:id="5"/>
      <w:bookmarkEnd w:id="5"/>
      <w:r w:rsidDel="00000000" w:rsidR="00000000" w:rsidRPr="00000000">
        <w:rPr>
          <w:rFonts w:ascii="Times New Roman" w:cs="Times New Roman" w:eastAsia="Times New Roman" w:hAnsi="Times New Roman"/>
          <w:b w:val="1"/>
          <w:bCs w:val="1"/>
          <w:color w:val="2e6e7e"/>
          <w:sz w:val="24"/>
          <w:szCs w:val="24"/>
          <w:rtl w:val="0"/>
        </w:rPr>
        <w:t xml:space="preserve">2.3 Research questions — reworded for the ex-ante frame</w:t>
      </w:r>
    </w:p>
    <w:p w:rsidR="00000000" w:rsidDel="00000000" w:rsidP="00000000" w:rsidRDefault="00000000" w:rsidRPr="00000000" w14:paraId="00000026">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RQ1: </w:t>
      </w:r>
      <w:r w:rsidDel="00000000" w:rsidR="00000000" w:rsidRPr="00000000">
        <w:rPr>
          <w:rFonts w:ascii="Times New Roman" w:cs="Times New Roman" w:eastAsia="Times New Roman" w:hAnsi="Times New Roman"/>
          <w:sz w:val="24"/>
          <w:szCs w:val="24"/>
          <w:rtl w:val="0"/>
        </w:rPr>
        <w:t xml:space="preserve">What process architecture could automate the RFQ process while preserving quote quality, and what evidence supports its technical feasibility?</w:t>
      </w:r>
    </w:p>
    <w:p w:rsidR="00000000" w:rsidDel="00000000" w:rsidP="00000000" w:rsidRDefault="00000000" w:rsidRPr="00000000" w14:paraId="00000027">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RQ2: </w:t>
      </w:r>
      <w:r w:rsidDel="00000000" w:rsidR="00000000" w:rsidRPr="00000000">
        <w:rPr>
          <w:rFonts w:ascii="Times New Roman" w:cs="Times New Roman" w:eastAsia="Times New Roman" w:hAnsi="Times New Roman"/>
          <w:sz w:val="24"/>
          <w:szCs w:val="24"/>
          <w:rtl w:val="0"/>
        </w:rPr>
        <w:t xml:space="preserve">What is the projected financial impact of the proposed transformation, and how robust is that projection under uncertainty?</w:t>
      </w:r>
    </w:p>
    <w:p w:rsidR="00000000" w:rsidDel="00000000" w:rsidP="00000000" w:rsidRDefault="00000000" w:rsidRPr="00000000" w14:paraId="00000028">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RQ3: </w:t>
      </w:r>
      <w:r w:rsidDel="00000000" w:rsidR="00000000" w:rsidRPr="00000000">
        <w:rPr>
          <w:rFonts w:ascii="Times New Roman" w:cs="Times New Roman" w:eastAsia="Times New Roman" w:hAnsi="Times New Roman"/>
          <w:sz w:val="24"/>
          <w:szCs w:val="24"/>
          <w:rtl w:val="0"/>
        </w:rPr>
        <w:t xml:space="preserve">What are the strategic implications for the distributor’s position in the value chain, and what implementation path best manages the risks?</w:t>
      </w:r>
      <w:r w:rsidDel="00000000" w:rsidR="00000000" w:rsidRPr="00000000">
        <w:rPr>
          <w:rtl w:val="0"/>
        </w:rPr>
      </w:r>
    </w:p>
    <w:p w:rsidR="00000000" w:rsidDel="00000000" w:rsidP="00000000" w:rsidRDefault="00000000" w:rsidRPr="00000000" w14:paraId="00000029">
      <w:pPr>
        <w:spacing w:after="80" w:line="360" w:lineRule="auto"/>
        <w:ind w:left="700" w:hanging="2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problems set out above, slow turnaround, hard capacity constraints, and error rates that erode margin and trust, are all downstream of the same underlying question: whether the technical expertise function of the distributor can be automated without losing the judgment that makes it valuable. This paper addresses that question through three research questions, each building on the last.</w:t>
      </w:r>
    </w:p>
    <w:p w:rsidR="00000000" w:rsidDel="00000000" w:rsidP="00000000" w:rsidRDefault="00000000" w:rsidRPr="00000000" w14:paraId="0000002B">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question, addressed in Sections 6 through 8, is what process architecture could automate the RFQ process while preserving quote quality, and what evidence supports its technical feasibility.</w:t>
      </w:r>
    </w:p>
    <w:p w:rsidR="00000000" w:rsidDel="00000000" w:rsidP="00000000" w:rsidRDefault="00000000" w:rsidRPr="00000000" w14:paraId="0000002C">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question, addressed in Section 9, is what the projected financial impact of the proposed transformation would be, and how robust that projection is under uncertainty.</w:t>
      </w:r>
    </w:p>
    <w:p w:rsidR="00000000" w:rsidDel="00000000" w:rsidP="00000000" w:rsidRDefault="00000000" w:rsidRPr="00000000" w14:paraId="0000002D">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question, addressed in Sections 10 and 11, is what the strategic implications are for the distributor's position in the value chain, and what implementation path best manages the risks.</w:t>
      </w:r>
    </w:p>
    <w:p w:rsidR="00000000" w:rsidDel="00000000" w:rsidP="00000000" w:rsidRDefault="00000000" w:rsidRPr="00000000" w14:paraId="0000002E">
      <w:pPr>
        <w:spacing w:after="80" w:line="360" w:lineRule="auto"/>
        <w:ind w:left="700" w:hanging="2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n0hae1wga9to" w:id="6"/>
      <w:bookmarkEnd w:id="6"/>
      <w:r w:rsidDel="00000000" w:rsidR="00000000" w:rsidRPr="00000000">
        <w:rPr>
          <w:rFonts w:ascii="Times New Roman" w:cs="Times New Roman" w:eastAsia="Times New Roman" w:hAnsi="Times New Roman"/>
          <w:b w:val="1"/>
          <w:bCs w:val="1"/>
          <w:color w:val="2e6e7e"/>
          <w:sz w:val="24"/>
          <w:szCs w:val="24"/>
          <w:rtl w:val="0"/>
        </w:rPr>
        <w:t xml:space="preserve">2.4 Scope</w:t>
      </w:r>
    </w:p>
    <w:p w:rsidR="00000000" w:rsidDel="00000000" w:rsidP="00000000" w:rsidRDefault="00000000" w:rsidRPr="00000000" w14:paraId="00000030">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 out, one sentence of justification per exclusion. Add one explicit line: </w:t>
      </w:r>
      <w:r w:rsidDel="00000000" w:rsidR="00000000" w:rsidRPr="00000000">
        <w:rPr>
          <w:rFonts w:ascii="Times New Roman" w:cs="Times New Roman" w:eastAsia="Times New Roman" w:hAnsi="Times New Roman"/>
          <w:i w:val="1"/>
          <w:iCs w:val="1"/>
          <w:sz w:val="24"/>
          <w:szCs w:val="24"/>
          <w:rtl w:val="0"/>
        </w:rPr>
        <w:t xml:space="preserve">“This study evaluates the proposed transformation ex-ante; implementation and post-implementation measurement are outside its scope and are addressed as a recommended pilot design in Section 11.”</w:t>
      </w:r>
      <w:r w:rsidDel="00000000" w:rsidR="00000000" w:rsidRPr="00000000">
        <w:rPr>
          <w:rFonts w:ascii="Times New Roman" w:cs="Times New Roman" w:eastAsia="Times New Roman" w:hAnsi="Times New Roman"/>
          <w:sz w:val="24"/>
          <w:szCs w:val="24"/>
          <w:rtl w:val="0"/>
        </w:rPr>
        <w:t xml:space="preserve"> Stating this once, early, inoculates you against the ‘but you didn’t build it’ critique — you convert the absence into a declared research design.</w:t>
      </w:r>
      <w:r w:rsidDel="00000000" w:rsidR="00000000" w:rsidRPr="00000000">
        <w:rPr>
          <w:rtl w:val="0"/>
        </w:rPr>
      </w:r>
    </w:p>
    <w:p w:rsidR="00000000" w:rsidDel="00000000" w:rsidP="00000000" w:rsidRDefault="00000000" w:rsidRPr="00000000" w14:paraId="00000031">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w:t>
      </w:r>
      <w:r w:rsidDel="00000000" w:rsidR="00000000" w:rsidRPr="00000000">
        <w:rPr>
          <w:rFonts w:ascii="Times New Roman" w:cs="Times New Roman" w:eastAsia="Times New Roman" w:hAnsi="Times New Roman"/>
          <w:sz w:val="24"/>
          <w:szCs w:val="24"/>
          <w:rtl w:val="0"/>
        </w:rPr>
        <w:t xml:space="preserve"> The scope is limited to pumps. Pumps are where the technical selection burden is heaviest, the Innovo inquiry alone required checking flow, head, efficiency, material, orientation, and seal type across five separate applications, and where the case for automation is strongest. Valves, HVAC, and other product lines Khoory distributes are excluded from this paper, though they represent a natural future extension once the pump-focused system is proven.</w:t>
      </w:r>
    </w:p>
    <w:p w:rsidR="00000000" w:rsidDel="00000000" w:rsidP="00000000" w:rsidRDefault="00000000" w:rsidRPr="00000000" w14:paraId="0000003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Geography.</w:t>
      </w:r>
      <w:r w:rsidDel="00000000" w:rsidR="00000000" w:rsidRPr="00000000">
        <w:rPr>
          <w:rFonts w:ascii="Times New Roman" w:cs="Times New Roman" w:eastAsia="Times New Roman" w:hAnsi="Times New Roman"/>
          <w:sz w:val="24"/>
          <w:szCs w:val="24"/>
          <w:rtl w:val="0"/>
        </w:rPr>
        <w:t xml:space="preserve"> The scope is limited to the UAE. This is deliberate, not a data limitation: UAE is where the volume and the pain are concentrated today. GCC-wide expansion is excluded here but flagged as a near-term next step, since specifications and business practices across the wider GCC closely mirror the UAE market.</w:t>
      </w:r>
    </w:p>
    <w:p w:rsidR="00000000" w:rsidDel="00000000" w:rsidP="00000000" w:rsidRDefault="00000000" w:rsidRPr="00000000" w14:paraId="0000003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The scope covers the technical workflow from RFQ receipt through quote generation, reading specifications and CAD files, running calculations, selecting models, and pricing, and picks up again at the submittal stage, preparing and submitting technical documentation for consultant approval once a project is won. Explicitly excluded is the commercial negotiation between quote submission and LOI. This boundary is intentional: the paper automates the technical judgment function of the distributor, not the deal-making function, keeping the analysis aligned with the technical-expertise tension raised in Section 2.1.</w:t>
      </w:r>
    </w:p>
    <w:p w:rsidR="00000000" w:rsidDel="00000000" w:rsidP="00000000" w:rsidRDefault="00000000" w:rsidRPr="00000000" w14:paraId="0000003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Depth of evaluation.</w:t>
      </w:r>
      <w:r w:rsidDel="00000000" w:rsidR="00000000" w:rsidRPr="00000000">
        <w:rPr>
          <w:rFonts w:ascii="Times New Roman" w:cs="Times New Roman" w:eastAsia="Times New Roman" w:hAnsi="Times New Roman"/>
          <w:sz w:val="24"/>
          <w:szCs w:val="24"/>
          <w:rtl w:val="0"/>
        </w:rPr>
        <w:t xml:space="preserve"> This is an ex-ante evaluation. No software has been built, and no pilot has been run. The analysis instead relies on a calibrated simulation of the current process, an audited assessment of technical feasibility, and a defensible financial projection under uncertainty, developed in Sections 6 through 9. A live pilot is recommended, not conducted, and appears as the first stage of the implementation path in Section 11.</w:t>
      </w:r>
      <w:r w:rsidDel="00000000" w:rsidR="00000000" w:rsidRPr="00000000">
        <w:rPr>
          <w:rtl w:val="0"/>
        </w:rPr>
      </w:r>
    </w:p>
    <w:p w:rsidR="00000000" w:rsidDel="00000000" w:rsidP="00000000" w:rsidRDefault="00000000" w:rsidRPr="00000000" w14:paraId="00000036">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100" w:line="360" w:lineRule="auto"/>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Section 3 — Methodology: An Ex-Ante Evaluation Design</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Author's note (remove before submission): </w:t>
      </w:r>
      <w:r w:rsidDel="00000000" w:rsidR="00000000" w:rsidRPr="00000000">
        <w:rPr>
          <w:rFonts w:ascii="Times New Roman" w:cs="Times New Roman" w:eastAsia="Times New Roman" w:hAnsi="Times New Roman"/>
          <w:sz w:val="24"/>
          <w:szCs w:val="24"/>
          <w:rtl w:val="0"/>
        </w:rPr>
        <w:t xml:space="preserve">the bracketed branch designation in 3.1 and the interview counts in Table 3.1 must be confirmed and completed with actual values. The scoping sentence reconciling the 640-inquiry baseline with Khoory's company-wide estimator figures is load-bearing — verify it reflects how the data was actually collected before submission.</w:t>
      </w:r>
    </w:p>
    <w:p w:rsidR="00000000" w:rsidDel="00000000" w:rsidP="00000000" w:rsidRDefault="00000000" w:rsidRPr="00000000" w14:paraId="00000039">
      <w:pPr>
        <w:pStyle w:val="Heading1"/>
        <w:keepNext w:val="0"/>
        <w:keepLines w:val="0"/>
        <w:spacing w:after="140" w:before="300" w:line="360" w:lineRule="auto"/>
        <w:rPr>
          <w:rFonts w:ascii="Times New Roman" w:cs="Times New Roman" w:eastAsia="Times New Roman" w:hAnsi="Times New Roman"/>
          <w:b w:val="1"/>
          <w:bCs w:val="1"/>
          <w:color w:val="1f4e5f"/>
          <w:sz w:val="24"/>
          <w:szCs w:val="24"/>
        </w:rPr>
      </w:pPr>
      <w:bookmarkStart w:colFirst="0" w:colLast="0" w:name="_sn3b7aqgziw" w:id="7"/>
      <w:bookmarkEnd w:id="7"/>
      <w:r w:rsidDel="00000000" w:rsidR="00000000" w:rsidRPr="00000000">
        <w:rPr>
          <w:rFonts w:ascii="Times New Roman" w:cs="Times New Roman" w:eastAsia="Times New Roman" w:hAnsi="Times New Roman"/>
          <w:b w:val="1"/>
          <w:bCs w:val="1"/>
          <w:color w:val="1f4e5f"/>
          <w:sz w:val="24"/>
          <w:szCs w:val="24"/>
          <w:rtl w:val="0"/>
        </w:rPr>
        <w:t xml:space="preserve">3.1 Research design</w:t>
      </w:r>
    </w:p>
    <w:p w:rsidR="00000000" w:rsidDel="00000000" w:rsidP="00000000" w:rsidRDefault="00000000" w:rsidRPr="00000000" w14:paraId="0000003A">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is a prospective evaluation of a proposed process transformation — an ex-ante design, in the language of investment appraisal. Nothing described in Sections 6 through 8 has been built, and the paper makes no claim otherwise. What it claims instead is that the transformation can be evaluated to a decision-grade standard before a line of code exists, using the same discipline a rigorous organization applies to any capital investment: measure the current state, design the alternative from established components, model its behaviour, and subject the model's assumptions to structured challenge. The absence of an implementation is not a gap in the method; it is the method's defining condition, and the design below is built for it.</w:t>
      </w:r>
    </w:p>
    <w:p w:rsidR="00000000" w:rsidDel="00000000" w:rsidP="00000000" w:rsidRDefault="00000000" w:rsidRPr="00000000" w14:paraId="0000003B">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components carry the evaluation. The first is an </w:t>
      </w:r>
      <w:r w:rsidDel="00000000" w:rsidR="00000000" w:rsidRPr="00000000">
        <w:rPr>
          <w:rFonts w:ascii="Times New Roman" w:cs="Times New Roman" w:eastAsia="Times New Roman" w:hAnsi="Times New Roman"/>
          <w:b w:val="1"/>
          <w:bCs w:val="1"/>
          <w:sz w:val="24"/>
          <w:szCs w:val="24"/>
          <w:rtl w:val="0"/>
        </w:rPr>
        <w:t xml:space="preserve">empirical baseline</w:t>
      </w:r>
      <w:r w:rsidDel="00000000" w:rsidR="00000000" w:rsidRPr="00000000">
        <w:rPr>
          <w:rFonts w:ascii="Times New Roman" w:cs="Times New Roman" w:eastAsia="Times New Roman" w:hAnsi="Times New Roman"/>
          <w:sz w:val="24"/>
          <w:szCs w:val="24"/>
          <w:rtl w:val="0"/>
        </w:rPr>
        <w:t xml:space="preserve"> of the current quoting process — measured, not recalled — developed in Section 4 from inquiry records, direct observation and a quotation audit. The second is a </w:t>
      </w:r>
      <w:r w:rsidDel="00000000" w:rsidR="00000000" w:rsidRPr="00000000">
        <w:rPr>
          <w:rFonts w:ascii="Times New Roman" w:cs="Times New Roman" w:eastAsia="Times New Roman" w:hAnsi="Times New Roman"/>
          <w:b w:val="1"/>
          <w:bCs w:val="1"/>
          <w:sz w:val="24"/>
          <w:szCs w:val="24"/>
          <w:rtl w:val="0"/>
        </w:rPr>
        <w:t xml:space="preserve">design synthesis</w:t>
      </w:r>
      <w:r w:rsidDel="00000000" w:rsidR="00000000" w:rsidRPr="00000000">
        <w:rPr>
          <w:rFonts w:ascii="Times New Roman" w:cs="Times New Roman" w:eastAsia="Times New Roman" w:hAnsi="Times New Roman"/>
          <w:sz w:val="24"/>
          <w:szCs w:val="24"/>
          <w:rtl w:val="0"/>
        </w:rPr>
        <w:t xml:space="preserve">: the proposed architecture of Section 7, assembled from components whose individual behaviour is documented — foundation-model extraction, deterministic hydraulic calculation, the manufacturer's own selection tooling — so that the design's novelty lies in the assembly and the routing, not in any unproven part. The third is a </w:t>
      </w:r>
      <w:r w:rsidDel="00000000" w:rsidR="00000000" w:rsidRPr="00000000">
        <w:rPr>
          <w:rFonts w:ascii="Times New Roman" w:cs="Times New Roman" w:eastAsia="Times New Roman" w:hAnsi="Times New Roman"/>
          <w:b w:val="1"/>
          <w:bCs w:val="1"/>
          <w:sz w:val="24"/>
          <w:szCs w:val="24"/>
          <w:rtl w:val="0"/>
        </w:rPr>
        <w:t xml:space="preserve">simulation of the future state</w:t>
      </w:r>
      <w:r w:rsidDel="00000000" w:rsidR="00000000" w:rsidRPr="00000000">
        <w:rPr>
          <w:rFonts w:ascii="Times New Roman" w:cs="Times New Roman" w:eastAsia="Times New Roman" w:hAnsi="Times New Roman"/>
          <w:sz w:val="24"/>
          <w:szCs w:val="24"/>
          <w:rtl w:val="0"/>
        </w:rPr>
        <w:t xml:space="preserve">, in two connected models: a process model that projects cycle time and capacity under the proposed design, and a financial model that converts those projections into a probabilistic investment case (Sections 8 and 9). The fourth is </w:t>
      </w:r>
      <w:r w:rsidDel="00000000" w:rsidR="00000000" w:rsidRPr="00000000">
        <w:rPr>
          <w:rFonts w:ascii="Times New Roman" w:cs="Times New Roman" w:eastAsia="Times New Roman" w:hAnsi="Times New Roman"/>
          <w:b w:val="1"/>
          <w:bCs w:val="1"/>
          <w:sz w:val="24"/>
          <w:szCs w:val="24"/>
          <w:rtl w:val="0"/>
        </w:rPr>
        <w:t xml:space="preserve">expert and customer validation</w:t>
      </w:r>
      <w:r w:rsidDel="00000000" w:rsidR="00000000" w:rsidRPr="00000000">
        <w:rPr>
          <w:rFonts w:ascii="Times New Roman" w:cs="Times New Roman" w:eastAsia="Times New Roman" w:hAnsi="Times New Roman"/>
          <w:sz w:val="24"/>
          <w:szCs w:val="24"/>
          <w:rtl w:val="0"/>
        </w:rPr>
        <w:t xml:space="preserve">: the estimators who run the current process and the contractors who buy from it are used not as sources of enthusiasm but as adversaries of the design's assumptions, through the feasibility audit of 8.1, the design review of 8.3, and the contractor interviews of 4.6.</w:t>
      </w:r>
    </w:p>
    <w:p w:rsidR="00000000" w:rsidDel="00000000" w:rsidP="00000000" w:rsidRDefault="00000000" w:rsidRPr="00000000" w14:paraId="0000003C">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scoping statement belongs here because every number downstream depends on it. Khoory operates 16 estimators across its UAE branches, handling on the order of twelve inquiries per estimator-week. The empirical baseline of Section 4 was measured at a single branch — [the Abu Dhabi estimation office] — whose 640 inquiries in 2025 constitute the study population; company-wide figures appear only where Section 9 scales the branch-level findings, and are labelled as such when they do. Measuring one branch deeply was preferred to measuring all branches thinly: the simulation of Section 8 needs step-level timings that only observation can supply, and observation does not spread.</w:t>
      </w:r>
    </w:p>
    <w:p w:rsidR="00000000" w:rsidDel="00000000" w:rsidP="00000000" w:rsidRDefault="00000000" w:rsidRPr="00000000" w14:paraId="0000003D">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paper, every quantitative claim carries one of three tags, introduced in Section 4 and used without exception. </w:t>
      </w:r>
      <w:r w:rsidDel="00000000" w:rsidR="00000000" w:rsidRPr="00000000">
        <w:rPr>
          <w:rFonts w:ascii="Times New Roman" w:cs="Times New Roman" w:eastAsia="Times New Roman" w:hAnsi="Times New Roman"/>
          <w:b w:val="1"/>
          <w:bCs w:val="1"/>
          <w:sz w:val="24"/>
          <w:szCs w:val="24"/>
          <w:rtl w:val="0"/>
        </w:rPr>
        <w:t xml:space="preserve">Measured</w:t>
      </w:r>
      <w:r w:rsidDel="00000000" w:rsidR="00000000" w:rsidRPr="00000000">
        <w:rPr>
          <w:rFonts w:ascii="Times New Roman" w:cs="Times New Roman" w:eastAsia="Times New Roman" w:hAnsi="Times New Roman"/>
          <w:sz w:val="24"/>
          <w:szCs w:val="24"/>
          <w:rtl w:val="0"/>
        </w:rPr>
        <w:t xml:space="preserve"> means read directly from records or timestamped observation of the current process. </w:t>
      </w:r>
      <w:r w:rsidDel="00000000" w:rsidR="00000000" w:rsidRPr="00000000">
        <w:rPr>
          <w:rFonts w:ascii="Times New Roman" w:cs="Times New Roman" w:eastAsia="Times New Roman" w:hAnsi="Times New Roman"/>
          <w:b w:val="1"/>
          <w:bCs w:val="1"/>
          <w:sz w:val="24"/>
          <w:szCs w:val="24"/>
          <w:rtl w:val="0"/>
        </w:rPr>
        <w:t xml:space="preserve">Audited</w:t>
      </w:r>
      <w:r w:rsidDel="00000000" w:rsidR="00000000" w:rsidRPr="00000000">
        <w:rPr>
          <w:rFonts w:ascii="Times New Roman" w:cs="Times New Roman" w:eastAsia="Times New Roman" w:hAnsi="Times New Roman"/>
          <w:sz w:val="24"/>
          <w:szCs w:val="24"/>
          <w:rtl w:val="0"/>
        </w:rPr>
        <w:t xml:space="preserve"> means produced by the structured feasibility study of 8.1 — scored by the estimators against a written rubric, on real historical documents. </w:t>
      </w:r>
      <w:r w:rsidDel="00000000" w:rsidR="00000000" w:rsidRPr="00000000">
        <w:rPr>
          <w:rFonts w:ascii="Times New Roman" w:cs="Times New Roman" w:eastAsia="Times New Roman" w:hAnsi="Times New Roman"/>
          <w:b w:val="1"/>
          <w:bCs w:val="1"/>
          <w:sz w:val="24"/>
          <w:szCs w:val="24"/>
          <w:rtl w:val="0"/>
        </w:rPr>
        <w:t xml:space="preserve">Simulated</w:t>
      </w:r>
      <w:r w:rsidDel="00000000" w:rsidR="00000000" w:rsidRPr="00000000">
        <w:rPr>
          <w:rFonts w:ascii="Times New Roman" w:cs="Times New Roman" w:eastAsia="Times New Roman" w:hAnsi="Times New Roman"/>
          <w:sz w:val="24"/>
          <w:szCs w:val="24"/>
          <w:rtl w:val="0"/>
        </w:rPr>
        <w:t xml:space="preserve"> means an output of the process or financial model, traceable to a named assumption in Appendix A. The vocabulary is the paper's contract with its reader: at any sentence, it should be unambiguous which kind of knowledge is being offered.</w:t>
      </w:r>
    </w:p>
    <w:p w:rsidR="00000000" w:rsidDel="00000000" w:rsidP="00000000" w:rsidRDefault="00000000" w:rsidRPr="00000000" w14:paraId="0000003E">
      <w:pPr>
        <w:pStyle w:val="Heading1"/>
        <w:keepNext w:val="0"/>
        <w:keepLines w:val="0"/>
        <w:spacing w:after="140" w:before="300" w:line="360" w:lineRule="auto"/>
        <w:rPr>
          <w:rFonts w:ascii="Times New Roman" w:cs="Times New Roman" w:eastAsia="Times New Roman" w:hAnsi="Times New Roman"/>
          <w:b w:val="1"/>
          <w:bCs w:val="1"/>
          <w:color w:val="1f4e5f"/>
          <w:sz w:val="24"/>
          <w:szCs w:val="24"/>
        </w:rPr>
      </w:pPr>
      <w:bookmarkStart w:colFirst="0" w:colLast="0" w:name="_tm2tlmmxw3nn" w:id="8"/>
      <w:bookmarkEnd w:id="8"/>
      <w:r w:rsidDel="00000000" w:rsidR="00000000" w:rsidRPr="00000000">
        <w:rPr>
          <w:rFonts w:ascii="Times New Roman" w:cs="Times New Roman" w:eastAsia="Times New Roman" w:hAnsi="Times New Roman"/>
          <w:b w:val="1"/>
          <w:bCs w:val="1"/>
          <w:color w:val="1f4e5f"/>
          <w:sz w:val="24"/>
          <w:szCs w:val="24"/>
          <w:rtl w:val="0"/>
        </w:rPr>
        <w:t xml:space="preserve">3.2 Data sources</w:t>
      </w:r>
    </w:p>
    <w:p w:rsidR="00000000" w:rsidDel="00000000" w:rsidP="00000000" w:rsidRDefault="00000000" w:rsidRPr="00000000" w14:paraId="0000003F">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3.1 lists every source of evidence the paper draws on, what each supplies, and the section where it does its work. No other data enters the analysis.</w:t>
      </w:r>
    </w:p>
    <w:tbl>
      <w:tblPr>
        <w:tblStyle w:val="Table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445"/>
        <w:gridCol w:w="3060"/>
        <w:gridCol w:w="1230"/>
        <w:gridCol w:w="660"/>
        <w:tblGridChange w:id="0">
          <w:tblGrid>
            <w:gridCol w:w="1740"/>
            <w:gridCol w:w="2445"/>
            <w:gridCol w:w="3060"/>
            <w:gridCol w:w="1230"/>
            <w:gridCol w:w="660"/>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eaf1f3" w:val="clear"/>
            <w:tcMar>
              <w:top w:w="60.0" w:type="dxa"/>
              <w:left w:w="100.0" w:type="dxa"/>
              <w:bottom w:w="60.0" w:type="dxa"/>
              <w:right w:w="100.0" w:type="dxa"/>
            </w:tcMar>
            <w:vAlign w:val="top"/>
          </w:tcPr>
          <w:p w:rsidR="00000000" w:rsidDel="00000000" w:rsidP="00000000" w:rsidRDefault="00000000" w:rsidRPr="00000000" w14:paraId="00000040">
            <w:pPr>
              <w:spacing w:after="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w:t>
            </w:r>
          </w:p>
        </w:tc>
        <w:tc>
          <w:tcPr>
            <w:tcBorders>
              <w:top w:color="000000" w:space="0" w:sz="6" w:val="single"/>
              <w:left w:color="000000" w:space="0" w:sz="0" w:val="nil"/>
              <w:bottom w:color="000000" w:space="0" w:sz="6" w:val="single"/>
              <w:right w:color="000000" w:space="0" w:sz="6" w:val="single"/>
            </w:tcBorders>
            <w:shd w:fill="eaf1f3" w:val="clear"/>
            <w:tcMar>
              <w:top w:w="60.0" w:type="dxa"/>
              <w:left w:w="100.0" w:type="dxa"/>
              <w:bottom w:w="60.0" w:type="dxa"/>
              <w:right w:w="100.0" w:type="dxa"/>
            </w:tcMar>
            <w:vAlign w:val="top"/>
          </w:tcPr>
          <w:p w:rsidR="00000000" w:rsidDel="00000000" w:rsidP="00000000" w:rsidRDefault="00000000" w:rsidRPr="00000000" w14:paraId="00000041">
            <w:pPr>
              <w:spacing w:after="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w:t>
            </w:r>
          </w:p>
        </w:tc>
        <w:tc>
          <w:tcPr>
            <w:tcBorders>
              <w:top w:color="000000" w:space="0" w:sz="6" w:val="single"/>
              <w:left w:color="000000" w:space="0" w:sz="0" w:val="nil"/>
              <w:bottom w:color="000000" w:space="0" w:sz="6" w:val="single"/>
              <w:right w:color="000000" w:space="0" w:sz="6" w:val="single"/>
            </w:tcBorders>
            <w:shd w:fill="eaf1f3" w:val="clear"/>
            <w:tcMar>
              <w:top w:w="60.0" w:type="dxa"/>
              <w:left w:w="100.0" w:type="dxa"/>
              <w:bottom w:w="60.0" w:type="dxa"/>
              <w:right w:w="100.0" w:type="dxa"/>
            </w:tcMar>
            <w:vAlign w:val="top"/>
          </w:tcPr>
          <w:p w:rsidR="00000000" w:rsidDel="00000000" w:rsidP="00000000" w:rsidRDefault="00000000" w:rsidRPr="00000000" w14:paraId="00000042">
            <w:pPr>
              <w:spacing w:after="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it supplies</w:t>
            </w:r>
          </w:p>
        </w:tc>
        <w:tc>
          <w:tcPr>
            <w:tcBorders>
              <w:top w:color="000000" w:space="0" w:sz="6" w:val="single"/>
              <w:left w:color="000000" w:space="0" w:sz="0" w:val="nil"/>
              <w:bottom w:color="000000" w:space="0" w:sz="6" w:val="single"/>
              <w:right w:color="000000" w:space="0" w:sz="6" w:val="single"/>
            </w:tcBorders>
            <w:shd w:fill="eaf1f3" w:val="clear"/>
            <w:tcMar>
              <w:top w:w="60.0" w:type="dxa"/>
              <w:left w:w="100.0" w:type="dxa"/>
              <w:bottom w:w="60.0" w:type="dxa"/>
              <w:right w:w="100.0" w:type="dxa"/>
            </w:tcMar>
            <w:vAlign w:val="top"/>
          </w:tcPr>
          <w:p w:rsidR="00000000" w:rsidDel="00000000" w:rsidP="00000000" w:rsidRDefault="00000000" w:rsidRPr="00000000" w14:paraId="00000043">
            <w:pPr>
              <w:spacing w:after="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Used in</w:t>
            </w:r>
          </w:p>
        </w:tc>
        <w:tc>
          <w:tcPr>
            <w:tcBorders>
              <w:top w:color="000000" w:space="0" w:sz="6" w:val="single"/>
              <w:left w:color="000000" w:space="0" w:sz="0" w:val="nil"/>
              <w:bottom w:color="000000" w:space="0" w:sz="6" w:val="single"/>
              <w:right w:color="000000" w:space="0" w:sz="6" w:val="single"/>
            </w:tcBorders>
            <w:shd w:fill="eaf1f3" w:val="clear"/>
            <w:tcMar>
              <w:top w:w="60.0" w:type="dxa"/>
              <w:left w:w="100.0" w:type="dxa"/>
              <w:bottom w:w="60.0" w:type="dxa"/>
              <w:right w:w="100.0" w:type="dxa"/>
            </w:tcMar>
            <w:vAlign w:val="top"/>
          </w:tcPr>
          <w:p w:rsidR="00000000" w:rsidDel="00000000" w:rsidP="00000000" w:rsidRDefault="00000000" w:rsidRPr="00000000" w14:paraId="00000044">
            <w:pPr>
              <w:spacing w:after="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Tag</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5">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RFQ log analysis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6">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640 inquiries, Jan–Dec 2025, single branch</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7">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Volumes, tier mix, cycle times, win rates, discount spreads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8">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4.1–4.4, 9.1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9">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A">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Time-and-motion observation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B">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inquiries shadowed end-to-end over 3 weeks; both branch estimators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C">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Step-level touch and queue times; the swimlane of Exhibit 4.1; simulation parameters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D">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4.1, 8.2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E">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r>
      <w:tr>
        <w:trPr>
          <w:cantSplit w:val="0"/>
          <w:trHeight w:val="138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F">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Quotation defect audit</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0">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Stratified sample of 120 quotations checked against source documents; credit-note ledger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1">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taxonomy, defect frequencies, cost of poor quality</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2">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3">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4">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interviews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5">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structured interviews: estimators, sales, branch and line management</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6">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costs, hiring lead times, lost-tender estimate, discounting behaviour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7">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2.2, 4.4, 9.4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8">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9">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Contractor interviews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A">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interviews, in progress (protocol in Appendix 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B">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Drivers of supplier choice; speed-vs-price weighting; stated reaction to automated quoting</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C">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4.6, 9.3</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D">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E">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Feasibility audit sample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F">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25–30 historical RFQs across tiers, scored field-by-field per the 8.1 rubric</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0">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Document-complexity typology; evidence-based automation-rate range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1">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8.1, 8.2, 9.5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2">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rHeight w:val="138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3">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models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4">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model (authors' operations-simulation platform, 5.5) + financial Monte Carlo</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5">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Projected cycle time, capacity and utilization; NPV distribution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6">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8.2, 9.5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7">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r>
    </w:tbl>
    <w:p w:rsidR="00000000" w:rsidDel="00000000" w:rsidP="00000000" w:rsidRDefault="00000000" w:rsidRPr="00000000" w14:paraId="00000068">
      <w:pPr>
        <w:spacing w:after="220" w:before="80" w:line="360" w:lineRule="auto"/>
        <w:rPr>
          <w:rFonts w:ascii="Times New Roman" w:cs="Times New Roman" w:eastAsia="Times New Roman" w:hAnsi="Times New Roman"/>
          <w:i w:val="1"/>
          <w:iCs w:val="1"/>
          <w:color w:val="595959"/>
          <w:sz w:val="24"/>
          <w:szCs w:val="24"/>
        </w:rPr>
      </w:pPr>
      <w:r w:rsidDel="00000000" w:rsidR="00000000" w:rsidRPr="00000000">
        <w:rPr>
          <w:rFonts w:ascii="Times New Roman" w:cs="Times New Roman" w:eastAsia="Times New Roman" w:hAnsi="Times New Roman"/>
          <w:i w:val="1"/>
          <w:iCs w:val="1"/>
          <w:color w:val="595959"/>
          <w:sz w:val="24"/>
          <w:szCs w:val="24"/>
          <w:rtl w:val="0"/>
        </w:rPr>
        <w:t xml:space="preserve">Table 3.1. Evidence base of the study. Tags: M measured, E estimated from sampled data or structured interview, A audited per the 8.1 protocol, S simulated. Bracketed counts to be finalized.</w:t>
      </w:r>
    </w:p>
    <w:p w:rsidR="00000000" w:rsidDel="00000000" w:rsidP="00000000" w:rsidRDefault="00000000" w:rsidRPr="00000000" w14:paraId="00000069">
      <w:pPr>
        <w:pStyle w:val="Heading1"/>
        <w:keepNext w:val="0"/>
        <w:keepLines w:val="0"/>
        <w:spacing w:after="140" w:before="300" w:line="360" w:lineRule="auto"/>
        <w:rPr>
          <w:rFonts w:ascii="Times New Roman" w:cs="Times New Roman" w:eastAsia="Times New Roman" w:hAnsi="Times New Roman"/>
          <w:b w:val="1"/>
          <w:bCs w:val="1"/>
          <w:color w:val="1f4e5f"/>
          <w:sz w:val="24"/>
          <w:szCs w:val="24"/>
        </w:rPr>
      </w:pPr>
      <w:bookmarkStart w:colFirst="0" w:colLast="0" w:name="_mgk3hy75m41" w:id="9"/>
      <w:bookmarkEnd w:id="9"/>
      <w:r w:rsidDel="00000000" w:rsidR="00000000" w:rsidRPr="00000000">
        <w:rPr>
          <w:rFonts w:ascii="Times New Roman" w:cs="Times New Roman" w:eastAsia="Times New Roman" w:hAnsi="Times New Roman"/>
          <w:b w:val="1"/>
          <w:bCs w:val="1"/>
          <w:color w:val="1f4e5f"/>
          <w:sz w:val="24"/>
          <w:szCs w:val="24"/>
          <w:rtl w:val="0"/>
        </w:rPr>
        <w:t xml:space="preserve">3.3 Simulation methodology</w:t>
      </w:r>
    </w:p>
    <w:p w:rsidR="00000000" w:rsidDel="00000000" w:rsidP="00000000" w:rsidRDefault="00000000" w:rsidRPr="00000000" w14:paraId="0000006A">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models do the projective work of this paper, and one rule governs both: a model earns the right to project a future it has not seen only by first reproducing a past that was measured.</w:t>
      </w:r>
    </w:p>
    <w:p w:rsidR="00000000" w:rsidDel="00000000" w:rsidP="00000000" w:rsidRDefault="00000000" w:rsidRPr="00000000" w14:paraId="0000006B">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process model </w:t>
      </w:r>
      <w:r w:rsidDel="00000000" w:rsidR="00000000" w:rsidRPr="00000000">
        <w:rPr>
          <w:rFonts w:ascii="Times New Roman" w:cs="Times New Roman" w:eastAsia="Times New Roman" w:hAnsi="Times New Roman"/>
          <w:sz w:val="24"/>
          <w:szCs w:val="24"/>
          <w:rtl w:val="0"/>
        </w:rPr>
        <w:t xml:space="preserve">represents the branch quoting operation as a flow of inquiries through the steps of Exhibit 4.1: arrivals by tier at the measured 2025 rates, touch times drawn from the observed step distributions, estimator capacity as the constraining resource, and queue behaviour matching the office's actual discipline — one owner per inquiry, first-in-first-out within an estimator's desk, interruptions for large inquiries modelled as pre-emption, since that is what the Innovo case shows actually happens. The model is built and run on the authors' operations-simulation platform, whose modelling approach and validation logic are described in 5.5. Before any to-be scenario is run, the model must reproduce the as-is baseline: median and P90 cycle time by tier, within a stated tolerance, against the measured values of Table 4.2. The calibration error is reported in 8.2 rather than buried — it is the number that separates simulation from arithmetic, and the reader is entitled to see it. Only then are to-be scenarios run, in which the automation-rate range established by the 8.1 audit replaces human touch time at the affected steps, and the model reports projected cycle time, estimator utilization and quoting capacity as distributions under low, central and high automation.</w:t>
      </w:r>
    </w:p>
    <w:p w:rsidR="00000000" w:rsidDel="00000000" w:rsidP="00000000" w:rsidRDefault="00000000" w:rsidRPr="00000000" w14:paraId="0000006C">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financial model </w:t>
      </w:r>
      <w:r w:rsidDel="00000000" w:rsidR="00000000" w:rsidRPr="00000000">
        <w:rPr>
          <w:rFonts w:ascii="Times New Roman" w:cs="Times New Roman" w:eastAsia="Times New Roman" w:hAnsi="Times New Roman"/>
          <w:sz w:val="24"/>
          <w:szCs w:val="24"/>
          <w:rtl w:val="0"/>
        </w:rPr>
        <w:t xml:space="preserve">converts operational projections into an investment case by Monte Carlo rather than by point estimate, because the honest state of knowledge in an ex-ante study is a set of ranges. Three uncertain inputs dominate and are treated as distributions: the automation rate, bounded by the 8.1 audit; the win-rate uplift from faster quoting, bounded by the triangulation of 9.3 and deliberately floored at zero in the conservative case; and the build cost, bounded by the vendor-referenced estimates of 9.4. Sampling across these produces five-year NPV as a distribution — reported at P10, P50 and P90 with the probability of clearing the hurdle rate — rather than as a single number defended to false precision. Every input distribution is documented in Appendix C and traceable to its source through the Appendix A register; no parameter enters the model that the register does not name.</w:t>
      </w:r>
    </w:p>
    <w:p w:rsidR="00000000" w:rsidDel="00000000" w:rsidP="00000000" w:rsidRDefault="00000000" w:rsidRPr="00000000" w14:paraId="0000006D">
      <w:pPr>
        <w:pStyle w:val="Heading1"/>
        <w:keepNext w:val="0"/>
        <w:keepLines w:val="0"/>
        <w:spacing w:after="140" w:before="300" w:line="360" w:lineRule="auto"/>
        <w:rPr>
          <w:rFonts w:ascii="Times New Roman" w:cs="Times New Roman" w:eastAsia="Times New Roman" w:hAnsi="Times New Roman"/>
          <w:b w:val="1"/>
          <w:bCs w:val="1"/>
          <w:color w:val="1f4e5f"/>
          <w:sz w:val="24"/>
          <w:szCs w:val="24"/>
        </w:rPr>
      </w:pPr>
      <w:bookmarkStart w:colFirst="0" w:colLast="0" w:name="_ghbqghrc3i7a" w:id="10"/>
      <w:bookmarkEnd w:id="10"/>
      <w:r w:rsidDel="00000000" w:rsidR="00000000" w:rsidRPr="00000000">
        <w:rPr>
          <w:rFonts w:ascii="Times New Roman" w:cs="Times New Roman" w:eastAsia="Times New Roman" w:hAnsi="Times New Roman"/>
          <w:b w:val="1"/>
          <w:bCs w:val="1"/>
          <w:color w:val="1f4e5f"/>
          <w:sz w:val="24"/>
          <w:szCs w:val="24"/>
          <w:rtl w:val="0"/>
        </w:rPr>
        <w:t xml:space="preserve">3.4 Limitations of method</w:t>
      </w:r>
    </w:p>
    <w:p w:rsidR="00000000" w:rsidDel="00000000" w:rsidP="00000000" w:rsidRDefault="00000000" w:rsidRPr="00000000" w14:paraId="0000006E">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limitations are acknowledged now and treated fully in Section 12. The baseline is one branch of one distributor, measured over one year, and the deep-observation sample behind the step timings is 22 inquiries. The future state is simulated and audited, not observed: no live extraction accuracy, engineer adoption, or contractor behaviour has been measured, and the pilot recommended in Section 11 exists precisely to supply what this design cannot. And the demand-side evidence — how much speed is worth in won tenders — rests on triangulated history and stated preferences rather than experiment, which is why the financial model floors that benefit at zero before it claims anything else.</w:t>
      </w:r>
    </w:p>
    <w:p w:rsidR="00000000" w:rsidDel="00000000" w:rsidP="00000000" w:rsidRDefault="00000000" w:rsidRPr="00000000" w14:paraId="0000006F">
      <w:pPr>
        <w:pStyle w:val="Subtitle"/>
        <w:spacing w:after="100" w:line="360" w:lineRule="auto"/>
        <w:rPr>
          <w:rFonts w:ascii="Times New Roman" w:cs="Times New Roman" w:eastAsia="Times New Roman" w:hAnsi="Times New Roman"/>
          <w:sz w:val="24"/>
          <w:szCs w:val="24"/>
        </w:rPr>
      </w:pPr>
      <w:bookmarkStart w:colFirst="0" w:colLast="0" w:name="_oc4xsxrg5urn" w:id="11"/>
      <w:bookmarkEnd w:id="11"/>
      <w:r w:rsidDel="00000000" w:rsidR="00000000" w:rsidRPr="00000000">
        <w:rPr>
          <w:rFonts w:ascii="Times New Roman" w:cs="Times New Roman" w:eastAsia="Times New Roman" w:hAnsi="Times New Roman"/>
          <w:sz w:val="24"/>
          <w:szCs w:val="24"/>
          <w:rtl w:val="0"/>
        </w:rPr>
        <w:t xml:space="preserve">Section 4 — Current State Analysis</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Author's note (remove before submission): all figures in this section are structured placeholders written to be replaced with the distributor's actual data. Volumes, times, costs and rates are internally consistent and realistic for a UAE pump distributor of this size, but they are illustrative until substituted. The (M) measured / (E) estimated tags mark the evidence standard each figure must meet once real values are inserted.</w:t>
      </w:r>
    </w:p>
    <w:p w:rsidR="00000000" w:rsidDel="00000000" w:rsidP="00000000" w:rsidRDefault="00000000" w:rsidRPr="00000000" w14:paraId="00000071">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in this section rests on three sources. The first is twelve months of inquiry records drawn from the shared quotations mailbox and the quotation log — 640 inquiries received between January and December 2025 (M). The second is three weeks of direct observation in the estimation office, during which 22 inquiries were followed from the moment the email arrived to the moment the quotation left, with each handover and each period of waiting timestamped (M). The third is the finance ledger for credit notes, rework and warranty items traceable to quotation defects (M). Where a figure could not be read directly from these records, it was estimated from sampled data or from structured interviews with the estimation and sales teams, and is tagged (E) with the method noted. The distinction matters: everything the later sections project is anchored to what this section can demonstrate.</w:t>
      </w:r>
    </w:p>
    <w:p w:rsidR="00000000" w:rsidDel="00000000" w:rsidP="00000000" w:rsidRDefault="00000000" w:rsidRPr="00000000" w14:paraId="00000072">
      <w:pPr>
        <w:pStyle w:val="Heading1"/>
        <w:keepNext w:val="0"/>
        <w:keepLines w:val="0"/>
        <w:spacing w:after="140" w:before="320" w:line="360" w:lineRule="auto"/>
        <w:rPr>
          <w:rFonts w:ascii="Times New Roman" w:cs="Times New Roman" w:eastAsia="Times New Roman" w:hAnsi="Times New Roman"/>
          <w:b w:val="1"/>
          <w:bCs w:val="1"/>
          <w:color w:val="1f4e5f"/>
          <w:sz w:val="24"/>
          <w:szCs w:val="24"/>
        </w:rPr>
      </w:pPr>
      <w:bookmarkStart w:colFirst="0" w:colLast="0" w:name="_vx7debudgplt" w:id="12"/>
      <w:bookmarkEnd w:id="12"/>
      <w:r w:rsidDel="00000000" w:rsidR="00000000" w:rsidRPr="00000000">
        <w:rPr>
          <w:rFonts w:ascii="Times New Roman" w:cs="Times New Roman" w:eastAsia="Times New Roman" w:hAnsi="Times New Roman"/>
          <w:b w:val="1"/>
          <w:bCs w:val="1"/>
          <w:color w:val="1f4e5f"/>
          <w:sz w:val="24"/>
          <w:szCs w:val="24"/>
          <w:rtl w:val="0"/>
        </w:rPr>
        <w:t xml:space="preserve">4.1 The as-is process: a swimlane view</w:t>
      </w:r>
    </w:p>
    <w:p w:rsidR="00000000" w:rsidDel="00000000" w:rsidP="00000000" w:rsidRDefault="00000000" w:rsidRPr="00000000" w14:paraId="00000073">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inquiry arrives as an email. Attached to it, in no particular order, will be some combination of a consultant's specification extract, a pump schedule — sometimes a native PDF, often a scanned image — a riser diagram, and occasionally a CAD file the estimator cannot open without asking a colleague. From that starting point the inquiry passes through nine steps and five roles before a quotation goes back out. Exhibit 4.1 maps the path, with each step annotated with two numbers: touch time, the minutes and hours in which someone is actively working on the inquiry, and queue time, the hours in which it sits in an inbox waiting its turn.</w:t>
        <w:br w:type="textWrapping"/>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29972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20" w:before="80" w:line="360" w:lineRule="auto"/>
        <w:rPr>
          <w:rFonts w:ascii="Times New Roman" w:cs="Times New Roman" w:eastAsia="Times New Roman" w:hAnsi="Times New Roman"/>
          <w:i w:val="1"/>
          <w:iCs w:val="1"/>
          <w:color w:val="595959"/>
          <w:sz w:val="24"/>
          <w:szCs w:val="24"/>
        </w:rPr>
      </w:pPr>
      <w:r w:rsidDel="00000000" w:rsidR="00000000" w:rsidRPr="00000000">
        <w:rPr>
          <w:rFonts w:ascii="Times New Roman" w:cs="Times New Roman" w:eastAsia="Times New Roman" w:hAnsi="Times New Roman"/>
          <w:i w:val="1"/>
          <w:iCs w:val="1"/>
          <w:color w:val="595959"/>
          <w:sz w:val="24"/>
          <w:szCs w:val="24"/>
          <w:rtl w:val="0"/>
        </w:rPr>
        <w:t xml:space="preserve">Exhibit 4.1. Median values across the 22 observed inquiries (M). The clarification loop and the management approval loop occur on a subset of inquiries; their queue times are medians within that subset.</w:t>
      </w:r>
    </w:p>
    <w:p w:rsidR="00000000" w:rsidDel="00000000" w:rsidP="00000000" w:rsidRDefault="00000000" w:rsidRPr="00000000" w14:paraId="00000075">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pattern the exhibit reveals is the central finding of the current-state study. Across the observed inquiries, the median case consumed 5.5 hours of actual work spread over roughly 39 working hours of elapsed time (M). Six hours out of every seven, nobody was working on the inquiry at all. It was waiting — first to be noticed and assigned, then in the estimator's personal queue behind whatever arrived before it, then, most expensively, on the contractor to answer a clarification, and finally for a discount to be approved by someone in a meeting. The work itself is not slow. The waiting is.</w:t>
      </w:r>
    </w:p>
    <w:p w:rsidR="00000000" w:rsidDel="00000000" w:rsidP="00000000" w:rsidRDefault="00000000" w:rsidRPr="00000000" w14:paraId="00000076">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26289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20" w:before="80" w:line="360" w:lineRule="auto"/>
        <w:rPr>
          <w:rFonts w:ascii="Times New Roman" w:cs="Times New Roman" w:eastAsia="Times New Roman" w:hAnsi="Times New Roman"/>
          <w:i w:val="1"/>
          <w:iCs w:val="1"/>
          <w:color w:val="595959"/>
          <w:sz w:val="24"/>
          <w:szCs w:val="24"/>
        </w:rPr>
      </w:pPr>
      <w:r w:rsidDel="00000000" w:rsidR="00000000" w:rsidRPr="00000000">
        <w:rPr>
          <w:rFonts w:ascii="Times New Roman" w:cs="Times New Roman" w:eastAsia="Times New Roman" w:hAnsi="Times New Roman"/>
          <w:i w:val="1"/>
          <w:iCs w:val="1"/>
          <w:color w:val="595959"/>
          <w:sz w:val="24"/>
          <w:szCs w:val="24"/>
          <w:rtl w:val="0"/>
        </w:rPr>
        <w:t xml:space="preserve">Exhibit 4.2. Touch and queue medians by inquiry tier (tiers defined in 4.2). The queue share is remarkably stable — between 84% and 87% — regardless of complexity (M).</w:t>
      </w:r>
    </w:p>
    <w:p w:rsidR="00000000" w:rsidDel="00000000" w:rsidP="00000000" w:rsidRDefault="00000000" w:rsidRPr="00000000" w14:paraId="00000078">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 time is not evenly spread. Three steps account for most of it: assignment, where an inquiry waits a median of 14 working hours for an estimator to pick it up; the clarification loop, where the median wait for a contractor's answer is 41 working hours and the process cannot move until it comes; and pricing, where quotes above the discount threshold wait on a manager's availability. Each of these is a handover between people, and each handover is a queue. The cost side is more straightforward. At a fully loaded rate of AED 52 per hour, applied to both estimation and sales time (E, from payroll and headcount records), the median inquiry carries roughly AED 286 of direct labour before any overhead allocation, a figure developed by tier in 4.3.</w:t>
      </w:r>
    </w:p>
    <w:p w:rsidR="00000000" w:rsidDel="00000000" w:rsidP="00000000" w:rsidRDefault="00000000" w:rsidRPr="00000000" w14:paraId="00000079">
      <w:pPr>
        <w:pStyle w:val="Heading1"/>
        <w:keepNext w:val="0"/>
        <w:keepLines w:val="0"/>
        <w:spacing w:after="140" w:before="320" w:line="360" w:lineRule="auto"/>
        <w:rPr>
          <w:rFonts w:ascii="Times New Roman" w:cs="Times New Roman" w:eastAsia="Times New Roman" w:hAnsi="Times New Roman"/>
          <w:b w:val="1"/>
          <w:bCs w:val="1"/>
          <w:color w:val="1f4e5f"/>
          <w:sz w:val="24"/>
          <w:szCs w:val="24"/>
        </w:rPr>
      </w:pPr>
      <w:bookmarkStart w:colFirst="0" w:colLast="0" w:name="_t1nbanntcybj" w:id="13"/>
      <w:bookmarkEnd w:id="13"/>
      <w:r w:rsidDel="00000000" w:rsidR="00000000" w:rsidRPr="00000000">
        <w:rPr>
          <w:rFonts w:ascii="Times New Roman" w:cs="Times New Roman" w:eastAsia="Times New Roman" w:hAnsi="Times New Roman"/>
          <w:b w:val="1"/>
          <w:bCs w:val="1"/>
          <w:color w:val="1f4e5f"/>
          <w:sz w:val="24"/>
          <w:szCs w:val="24"/>
          <w:rtl w:val="0"/>
        </w:rPr>
        <w:t xml:space="preserve">4.2 RFQ segmentation</w:t>
      </w:r>
    </w:p>
    <w:p w:rsidR="00000000" w:rsidDel="00000000" w:rsidP="00000000" w:rsidRDefault="00000000" w:rsidRPr="00000000" w14:paraId="0000007A">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Treating 640 inquiries as one population would hide more than it reveals, because the inquiry that asks for a single replacement circulator and the inquiry that covers three buildings of a museum have almost nothing in common except the mailbox they arrive in. Every inquiry in the 2025 log was therefore classified retrospectively into one of three tiers using three objective criteria: the number of pumps requested, the completeness of technical data at the moment of receipt, and the project value. Two staff members classified independently; they agreed on 91% of inquiries, and disagreements were resolved jointly (E). The taxonomy carries through the rest of the paper — the design in Section 7 routes by it, the feasibility audit in Section 8 samples by it, and the financial model in Section 9 builds its benefits by it.</w:t>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190"/>
        <w:gridCol w:w="2370"/>
        <w:gridCol w:w="2370"/>
        <w:tblGridChange w:id="0">
          <w:tblGrid>
            <w:gridCol w:w="2190"/>
            <w:gridCol w:w="2190"/>
            <w:gridCol w:w="2370"/>
            <w:gridCol w:w="237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eaf1f3" w:val="clear"/>
            <w:tcMar>
              <w:top w:w="60.0" w:type="dxa"/>
              <w:left w:w="100.0" w:type="dxa"/>
              <w:bottom w:w="60.0" w:type="dxa"/>
              <w:right w:w="100.0" w:type="dxa"/>
            </w:tcMar>
            <w:vAlign w:val="top"/>
          </w:tcPr>
          <w:p w:rsidR="00000000" w:rsidDel="00000000" w:rsidP="00000000" w:rsidRDefault="00000000" w:rsidRPr="00000000" w14:paraId="0000007B">
            <w:pPr>
              <w:spacing w:after="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Criterion</w:t>
            </w:r>
          </w:p>
        </w:tc>
        <w:tc>
          <w:tcPr>
            <w:tcBorders>
              <w:top w:color="000000" w:space="0" w:sz="6" w:val="single"/>
              <w:left w:color="000000" w:space="0" w:sz="0" w:val="nil"/>
              <w:bottom w:color="000000" w:space="0" w:sz="6" w:val="single"/>
              <w:right w:color="000000" w:space="0" w:sz="6" w:val="single"/>
            </w:tcBorders>
            <w:shd w:fill="eaf1f3" w:val="clear"/>
            <w:tcMar>
              <w:top w:w="60.0" w:type="dxa"/>
              <w:left w:w="100.0" w:type="dxa"/>
              <w:bottom w:w="60.0" w:type="dxa"/>
              <w:right w:w="100.0" w:type="dxa"/>
            </w:tcMar>
            <w:vAlign w:val="top"/>
          </w:tcPr>
          <w:p w:rsidR="00000000" w:rsidDel="00000000" w:rsidP="00000000" w:rsidRDefault="00000000" w:rsidRPr="00000000" w14:paraId="0000007C">
            <w:pPr>
              <w:spacing w:after="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Tier 1 — Simple</w:t>
            </w:r>
          </w:p>
        </w:tc>
        <w:tc>
          <w:tcPr>
            <w:tcBorders>
              <w:top w:color="000000" w:space="0" w:sz="6" w:val="single"/>
              <w:left w:color="000000" w:space="0" w:sz="0" w:val="nil"/>
              <w:bottom w:color="000000" w:space="0" w:sz="6" w:val="single"/>
              <w:right w:color="000000" w:space="0" w:sz="6" w:val="single"/>
            </w:tcBorders>
            <w:shd w:fill="eaf1f3" w:val="clear"/>
            <w:tcMar>
              <w:top w:w="60.0" w:type="dxa"/>
              <w:left w:w="100.0" w:type="dxa"/>
              <w:bottom w:w="60.0" w:type="dxa"/>
              <w:right w:w="100.0" w:type="dxa"/>
            </w:tcMar>
            <w:vAlign w:val="top"/>
          </w:tcPr>
          <w:p w:rsidR="00000000" w:rsidDel="00000000" w:rsidP="00000000" w:rsidRDefault="00000000" w:rsidRPr="00000000" w14:paraId="0000007D">
            <w:pPr>
              <w:spacing w:after="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Tier 2 — Standard</w:t>
            </w:r>
          </w:p>
        </w:tc>
        <w:tc>
          <w:tcPr>
            <w:tcBorders>
              <w:top w:color="000000" w:space="0" w:sz="6" w:val="single"/>
              <w:left w:color="000000" w:space="0" w:sz="0" w:val="nil"/>
              <w:bottom w:color="000000" w:space="0" w:sz="6" w:val="single"/>
              <w:right w:color="000000" w:space="0" w:sz="6" w:val="single"/>
            </w:tcBorders>
            <w:shd w:fill="eaf1f3" w:val="clear"/>
            <w:tcMar>
              <w:top w:w="60.0" w:type="dxa"/>
              <w:left w:w="100.0" w:type="dxa"/>
              <w:bottom w:w="60.0" w:type="dxa"/>
              <w:right w:w="100.0" w:type="dxa"/>
            </w:tcMar>
            <w:vAlign w:val="top"/>
          </w:tcPr>
          <w:p w:rsidR="00000000" w:rsidDel="00000000" w:rsidP="00000000" w:rsidRDefault="00000000" w:rsidRPr="00000000" w14:paraId="0000007E">
            <w:pPr>
              <w:spacing w:after="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Tier 3 — Complex</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F">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Pumps requested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0">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One application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1">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 </w:t>
            </w:r>
            <w:r w:rsidDel="00000000" w:rsidR="00000000" w:rsidRPr="00000000">
              <w:rPr>
                <w:rFonts w:ascii="Times New Roman" w:cs="Times New Roman" w:eastAsia="Times New Roman" w:hAnsi="Times New Roman"/>
                <w:sz w:val="24"/>
                <w:szCs w:val="24"/>
                <w:rtl w:val="0"/>
              </w:rPr>
              <w:t xml:space="preserve">upto</w:t>
            </w:r>
            <w:r w:rsidDel="00000000" w:rsidR="00000000" w:rsidRPr="00000000">
              <w:rPr>
                <w:rFonts w:ascii="Times New Roman" w:cs="Times New Roman" w:eastAsia="Times New Roman" w:hAnsi="Times New Roman"/>
                <w:sz w:val="24"/>
                <w:szCs w:val="24"/>
                <w:rtl w:val="0"/>
              </w:rPr>
              <w:t xml:space="preserve"> 2 applications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2">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&gt;12, or multiple systems / buildings (Multiple applications)</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3">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completeness at receipt</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4">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or trivially completable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5">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typically one clarification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6">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Substantially incomplete; drawings required</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7">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 content</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8">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Replacement unit, small booster set</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9">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building or package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A">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Chilled water, multi-building, special quotes to manufacturer</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B">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value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C">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AED 40k</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D">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AED 40k – 350k</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E">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AED 350k</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F">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 of inquiry volume (M)</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90">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91">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92">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93">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 of quoted value (M)</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94">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95">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96">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r>
    </w:tbl>
    <w:p w:rsidR="00000000" w:rsidDel="00000000" w:rsidP="00000000" w:rsidRDefault="00000000" w:rsidRPr="00000000" w14:paraId="00000097">
      <w:pPr>
        <w:spacing w:after="220" w:before="80" w:line="360" w:lineRule="auto"/>
        <w:rPr>
          <w:rFonts w:ascii="Times New Roman" w:cs="Times New Roman" w:eastAsia="Times New Roman" w:hAnsi="Times New Roman"/>
          <w:i w:val="1"/>
          <w:iCs w:val="1"/>
          <w:color w:val="595959"/>
          <w:sz w:val="24"/>
          <w:szCs w:val="24"/>
        </w:rPr>
      </w:pPr>
      <w:r w:rsidDel="00000000" w:rsidR="00000000" w:rsidRPr="00000000">
        <w:rPr>
          <w:rFonts w:ascii="Times New Roman" w:cs="Times New Roman" w:eastAsia="Times New Roman" w:hAnsi="Times New Roman"/>
          <w:i w:val="1"/>
          <w:iCs w:val="1"/>
          <w:color w:val="595959"/>
          <w:sz w:val="24"/>
          <w:szCs w:val="24"/>
          <w:rtl w:val="0"/>
        </w:rPr>
        <w:t xml:space="preserve">Table 4.1. Segmentation criteria and 2025 mix. n = 640 inquiries.</w:t>
      </w:r>
    </w:p>
    <w:p w:rsidR="00000000" w:rsidDel="00000000" w:rsidP="00000000" w:rsidRDefault="00000000" w:rsidRPr="00000000" w14:paraId="00000098">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inversion between the last two rows is worth pausing on. Tier 3 supplies one inquiry in eight but nearly half the quoted value, which means the inquiries that matter most commercially are precisely the ones where the manual process is slowest, the documents messiest, and the expertise thinnest — there are two estimators in the office who can handle a chilled-water package unassisted, and one of them handles most of them. Any redesign that only works for simple inquiries would automate the 12% of value that least needs help.</w:t>
      </w:r>
    </w:p>
    <w:p w:rsidR="00000000" w:rsidDel="00000000" w:rsidP="00000000" w:rsidRDefault="00000000" w:rsidRPr="00000000" w14:paraId="00000099">
      <w:pPr>
        <w:pStyle w:val="Heading1"/>
        <w:keepNext w:val="0"/>
        <w:keepLines w:val="0"/>
        <w:spacing w:after="140" w:before="320" w:line="360" w:lineRule="auto"/>
        <w:rPr>
          <w:rFonts w:ascii="Times New Roman" w:cs="Times New Roman" w:eastAsia="Times New Roman" w:hAnsi="Times New Roman"/>
          <w:b w:val="1"/>
          <w:bCs w:val="1"/>
          <w:color w:val="1f4e5f"/>
          <w:sz w:val="24"/>
          <w:szCs w:val="24"/>
        </w:rPr>
      </w:pPr>
      <w:bookmarkStart w:colFirst="0" w:colLast="0" w:name="_yw4ql3qtj4w2" w:id="14"/>
      <w:bookmarkEnd w:id="14"/>
      <w:r w:rsidDel="00000000" w:rsidR="00000000" w:rsidRPr="00000000">
        <w:rPr>
          <w:rtl w:val="0"/>
        </w:rPr>
      </w:r>
    </w:p>
    <w:p w:rsidR="00000000" w:rsidDel="00000000" w:rsidP="00000000" w:rsidRDefault="00000000" w:rsidRPr="00000000" w14:paraId="0000009A">
      <w:pPr>
        <w:pStyle w:val="Heading1"/>
        <w:keepNext w:val="0"/>
        <w:keepLines w:val="0"/>
        <w:spacing w:after="140" w:before="320" w:line="360" w:lineRule="auto"/>
        <w:rPr>
          <w:rFonts w:ascii="Times New Roman" w:cs="Times New Roman" w:eastAsia="Times New Roman" w:hAnsi="Times New Roman"/>
          <w:b w:val="1"/>
          <w:bCs w:val="1"/>
          <w:color w:val="1f4e5f"/>
          <w:sz w:val="24"/>
          <w:szCs w:val="24"/>
        </w:rPr>
      </w:pPr>
      <w:bookmarkStart w:colFirst="0" w:colLast="0" w:name="_jbef5jo3szj0" w:id="15"/>
      <w:bookmarkEnd w:id="15"/>
      <w:r w:rsidDel="00000000" w:rsidR="00000000" w:rsidRPr="00000000">
        <w:rPr>
          <w:rtl w:val="0"/>
        </w:rPr>
      </w:r>
    </w:p>
    <w:p w:rsidR="00000000" w:rsidDel="00000000" w:rsidP="00000000" w:rsidRDefault="00000000" w:rsidRPr="00000000" w14:paraId="0000009B">
      <w:pPr>
        <w:pStyle w:val="Heading1"/>
        <w:keepNext w:val="0"/>
        <w:keepLines w:val="0"/>
        <w:spacing w:after="140" w:before="320" w:line="360" w:lineRule="auto"/>
        <w:rPr>
          <w:rFonts w:ascii="Times New Roman" w:cs="Times New Roman" w:eastAsia="Times New Roman" w:hAnsi="Times New Roman"/>
          <w:b w:val="1"/>
          <w:bCs w:val="1"/>
          <w:color w:val="1f4e5f"/>
          <w:sz w:val="24"/>
          <w:szCs w:val="24"/>
        </w:rPr>
      </w:pPr>
      <w:bookmarkStart w:colFirst="0" w:colLast="0" w:name="_bafj2h23maeq" w:id="16"/>
      <w:bookmarkEnd w:id="16"/>
      <w:r w:rsidDel="00000000" w:rsidR="00000000" w:rsidRPr="00000000">
        <w:rPr>
          <w:rFonts w:ascii="Times New Roman" w:cs="Times New Roman" w:eastAsia="Times New Roman" w:hAnsi="Times New Roman"/>
          <w:b w:val="1"/>
          <w:bCs w:val="1"/>
          <w:color w:val="1f4e5f"/>
          <w:sz w:val="24"/>
          <w:szCs w:val="24"/>
          <w:rtl w:val="0"/>
        </w:rPr>
        <w:t xml:space="preserve">4.3 Baseline metrics</w:t>
      </w:r>
    </w:p>
    <w:p w:rsidR="00000000" w:rsidDel="00000000" w:rsidP="00000000" w:rsidRDefault="00000000" w:rsidRPr="00000000" w14:paraId="0000009C">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4.2 consolidates the baseline. Every subsequent claim of improvement in this paper is a claim against one of these cells.</w:t>
      </w:r>
    </w:p>
    <w:tbl>
      <w:tblPr>
        <w:tblStyle w:val="Table3"/>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0"/>
        <w:gridCol w:w="1365"/>
        <w:gridCol w:w="1365"/>
        <w:gridCol w:w="1365"/>
        <w:gridCol w:w="840"/>
        <w:tblGridChange w:id="0">
          <w:tblGrid>
            <w:gridCol w:w="4200"/>
            <w:gridCol w:w="1365"/>
            <w:gridCol w:w="1365"/>
            <w:gridCol w:w="1365"/>
            <w:gridCol w:w="84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eaf1f3" w:val="clear"/>
            <w:tcMar>
              <w:top w:w="60.0" w:type="dxa"/>
              <w:left w:w="100.0" w:type="dxa"/>
              <w:bottom w:w="60.0" w:type="dxa"/>
              <w:right w:w="100.0" w:type="dxa"/>
            </w:tcMar>
            <w:vAlign w:val="top"/>
          </w:tcPr>
          <w:p w:rsidR="00000000" w:rsidDel="00000000" w:rsidP="00000000" w:rsidRDefault="00000000" w:rsidRPr="00000000" w14:paraId="0000009D">
            <w:pPr>
              <w:spacing w:after="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p>
        </w:tc>
        <w:tc>
          <w:tcPr>
            <w:tcBorders>
              <w:top w:color="000000" w:space="0" w:sz="6" w:val="single"/>
              <w:left w:color="000000" w:space="0" w:sz="0" w:val="nil"/>
              <w:bottom w:color="000000" w:space="0" w:sz="6" w:val="single"/>
              <w:right w:color="000000" w:space="0" w:sz="6" w:val="single"/>
            </w:tcBorders>
            <w:shd w:fill="eaf1f3" w:val="clear"/>
            <w:tcMar>
              <w:top w:w="60.0" w:type="dxa"/>
              <w:left w:w="100.0" w:type="dxa"/>
              <w:bottom w:w="60.0" w:type="dxa"/>
              <w:right w:w="100.0" w:type="dxa"/>
            </w:tcMar>
            <w:vAlign w:val="top"/>
          </w:tcPr>
          <w:p w:rsidR="00000000" w:rsidDel="00000000" w:rsidP="00000000" w:rsidRDefault="00000000" w:rsidRPr="00000000" w14:paraId="0000009E">
            <w:pPr>
              <w:spacing w:after="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Tier 1</w:t>
            </w:r>
          </w:p>
        </w:tc>
        <w:tc>
          <w:tcPr>
            <w:tcBorders>
              <w:top w:color="000000" w:space="0" w:sz="6" w:val="single"/>
              <w:left w:color="000000" w:space="0" w:sz="0" w:val="nil"/>
              <w:bottom w:color="000000" w:space="0" w:sz="6" w:val="single"/>
              <w:right w:color="000000" w:space="0" w:sz="6" w:val="single"/>
            </w:tcBorders>
            <w:shd w:fill="eaf1f3" w:val="clear"/>
            <w:tcMar>
              <w:top w:w="60.0" w:type="dxa"/>
              <w:left w:w="100.0" w:type="dxa"/>
              <w:bottom w:w="60.0" w:type="dxa"/>
              <w:right w:w="100.0" w:type="dxa"/>
            </w:tcMar>
            <w:vAlign w:val="top"/>
          </w:tcPr>
          <w:p w:rsidR="00000000" w:rsidDel="00000000" w:rsidP="00000000" w:rsidRDefault="00000000" w:rsidRPr="00000000" w14:paraId="0000009F">
            <w:pPr>
              <w:spacing w:after="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Tier 2</w:t>
            </w:r>
          </w:p>
        </w:tc>
        <w:tc>
          <w:tcPr>
            <w:tcBorders>
              <w:top w:color="000000" w:space="0" w:sz="6" w:val="single"/>
              <w:left w:color="000000" w:space="0" w:sz="0" w:val="nil"/>
              <w:bottom w:color="000000" w:space="0" w:sz="6" w:val="single"/>
              <w:right w:color="000000" w:space="0" w:sz="6" w:val="single"/>
            </w:tcBorders>
            <w:shd w:fill="eaf1f3" w:val="clear"/>
            <w:tcMar>
              <w:top w:w="60.0" w:type="dxa"/>
              <w:left w:w="100.0" w:type="dxa"/>
              <w:bottom w:w="60.0" w:type="dxa"/>
              <w:right w:w="100.0" w:type="dxa"/>
            </w:tcMar>
            <w:vAlign w:val="top"/>
          </w:tcPr>
          <w:p w:rsidR="00000000" w:rsidDel="00000000" w:rsidP="00000000" w:rsidRDefault="00000000" w:rsidRPr="00000000" w14:paraId="000000A0">
            <w:pPr>
              <w:spacing w:after="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Tier 3</w:t>
            </w:r>
          </w:p>
        </w:tc>
        <w:tc>
          <w:tcPr>
            <w:tcBorders>
              <w:top w:color="000000" w:space="0" w:sz="6" w:val="single"/>
              <w:left w:color="000000" w:space="0" w:sz="0" w:val="nil"/>
              <w:bottom w:color="000000" w:space="0" w:sz="6" w:val="single"/>
              <w:right w:color="000000" w:space="0" w:sz="6" w:val="single"/>
            </w:tcBorders>
            <w:shd w:fill="eaf1f3" w:val="clear"/>
            <w:tcMar>
              <w:top w:w="60.0" w:type="dxa"/>
              <w:left w:w="100.0" w:type="dxa"/>
              <w:bottom w:w="60.0" w:type="dxa"/>
              <w:right w:w="100.0" w:type="dxa"/>
            </w:tcMar>
            <w:vAlign w:val="top"/>
          </w:tcPr>
          <w:p w:rsidR="00000000" w:rsidDel="00000000" w:rsidP="00000000" w:rsidRDefault="00000000" w:rsidRPr="00000000" w14:paraId="000000A1">
            <w:pPr>
              <w:spacing w:after="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Tag</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2">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Inquiries per month</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3">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4">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5">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6">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7">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 cycle time (working hours)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8">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9">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A">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B">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C">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P90 cycle time (working hours)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D">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E">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F">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0">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1">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Touch time per inquiry (hours)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2">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3">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4">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5">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6">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cost per quote (AED)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7">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8">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286</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9">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593</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A">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B">
            <w:pPr>
              <w:spacing w:after="40"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Inquiries with ≥1 defect</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C">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D">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E">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F">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0">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 rate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1">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2">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3">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4">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5">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Gross margin on won quotes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6">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7">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8">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9">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r>
    </w:tbl>
    <w:p w:rsidR="00000000" w:rsidDel="00000000" w:rsidP="00000000" w:rsidRDefault="00000000" w:rsidRPr="00000000" w14:paraId="000000CA">
      <w:pPr>
        <w:spacing w:after="220" w:before="80" w:line="360" w:lineRule="auto"/>
        <w:rPr>
          <w:rFonts w:ascii="Times New Roman" w:cs="Times New Roman" w:eastAsia="Times New Roman" w:hAnsi="Times New Roman"/>
          <w:i w:val="1"/>
          <w:iCs w:val="1"/>
          <w:color w:val="595959"/>
          <w:sz w:val="24"/>
          <w:szCs w:val="24"/>
        </w:rPr>
      </w:pPr>
      <w:r w:rsidDel="00000000" w:rsidR="00000000" w:rsidRPr="00000000">
        <w:rPr>
          <w:rFonts w:ascii="Times New Roman" w:cs="Times New Roman" w:eastAsia="Times New Roman" w:hAnsi="Times New Roman"/>
          <w:i w:val="1"/>
          <w:iCs w:val="1"/>
          <w:color w:val="595959"/>
          <w:sz w:val="24"/>
          <w:szCs w:val="24"/>
          <w:rtl w:val="0"/>
        </w:rPr>
        <w:t xml:space="preserve">Table 4.2. Baseline metrics by tier, 2025. Cost per quote combines touch hours at loaded rates with a per-inquiry allocation of estimation software licences; defect rates were estimated by auditing a stratified sample of 120 quotations against source documents.</w:t>
      </w:r>
    </w:p>
    <w:p w:rsidR="00000000" w:rsidDel="00000000" w:rsidP="00000000" w:rsidRDefault="00000000" w:rsidRPr="00000000" w14:paraId="000000CB">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readings follow. First, cycle time grows faster than touch time as complexity rises — an 88-hour Tier 3 median contains only 11.4 hours of work — so the delay problem is structural, not a matter of effort. Second, the defect rate triples between Tier 1 and Tier 3, tracking the volume of manual transcription each tier demands. Third, and read together with the value shares in Table 4.1: the business earns its margin where its process performs worst. That tension is what the Innovo inquiry in 4.5 makes concrete.</w:t>
      </w:r>
    </w:p>
    <w:p w:rsidR="00000000" w:rsidDel="00000000" w:rsidP="00000000" w:rsidRDefault="00000000" w:rsidRPr="00000000" w14:paraId="000000CC">
      <w:pPr>
        <w:pStyle w:val="Heading1"/>
        <w:keepNext w:val="0"/>
        <w:keepLines w:val="0"/>
        <w:spacing w:after="140" w:before="320" w:line="360" w:lineRule="auto"/>
        <w:rPr>
          <w:rFonts w:ascii="Times New Roman" w:cs="Times New Roman" w:eastAsia="Times New Roman" w:hAnsi="Times New Roman"/>
          <w:b w:val="1"/>
          <w:bCs w:val="1"/>
          <w:color w:val="1f4e5f"/>
          <w:sz w:val="24"/>
          <w:szCs w:val="24"/>
        </w:rPr>
      </w:pPr>
      <w:bookmarkStart w:colFirst="0" w:colLast="0" w:name="_2a4qtlx4kl87" w:id="17"/>
      <w:bookmarkEnd w:id="17"/>
      <w:r w:rsidDel="00000000" w:rsidR="00000000" w:rsidRPr="00000000">
        <w:rPr>
          <w:rFonts w:ascii="Times New Roman" w:cs="Times New Roman" w:eastAsia="Times New Roman" w:hAnsi="Times New Roman"/>
          <w:b w:val="1"/>
          <w:bCs w:val="1"/>
          <w:color w:val="1f4e5f"/>
          <w:sz w:val="24"/>
          <w:szCs w:val="24"/>
          <w:rtl w:val="0"/>
        </w:rPr>
        <w:t xml:space="preserve">4.4 Error taxonomy and the cost of poor quality</w:t>
      </w:r>
    </w:p>
    <w:p w:rsidR="00000000" w:rsidDel="00000000" w:rsidP="00000000" w:rsidRDefault="00000000" w:rsidRPr="00000000" w14:paraId="000000CD">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audit of 120 sampled quotations, cross-checked against the credit-note ledger, surfaced four distinct classes of error. They differ not only in frequency but in when they are discovered, and discovery timing drives cost far more than the mistake itself: an extraction error caught at internal review costs an hour of rework, while the same error caught at commissioning costs a return shipment, a site visit, and a measure of trust.</w:t>
      </w:r>
    </w:p>
    <w:tbl>
      <w:tblPr>
        <w:tblStyle w:val="Table4"/>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3060"/>
        <w:gridCol w:w="1185"/>
        <w:gridCol w:w="1320"/>
        <w:gridCol w:w="1725"/>
        <w:tblGridChange w:id="0">
          <w:tblGrid>
            <w:gridCol w:w="1815"/>
            <w:gridCol w:w="3060"/>
            <w:gridCol w:w="1185"/>
            <w:gridCol w:w="1320"/>
            <w:gridCol w:w="1725"/>
          </w:tblGrid>
        </w:tblGridChange>
      </w:tblGrid>
      <w:tr>
        <w:trPr>
          <w:cantSplit w:val="0"/>
          <w:trHeight w:val="960" w:hRule="atLeast"/>
          <w:tblHeader w:val="0"/>
        </w:trPr>
        <w:tc>
          <w:tcPr>
            <w:tcBorders>
              <w:top w:color="000000" w:space="0" w:sz="6" w:val="single"/>
              <w:left w:color="000000" w:space="0" w:sz="6" w:val="single"/>
              <w:bottom w:color="000000" w:space="0" w:sz="6" w:val="single"/>
              <w:right w:color="000000" w:space="0" w:sz="6" w:val="single"/>
            </w:tcBorders>
            <w:shd w:fill="eaf1f3" w:val="clear"/>
            <w:tcMar>
              <w:top w:w="60.0" w:type="dxa"/>
              <w:left w:w="100.0" w:type="dxa"/>
              <w:bottom w:w="60.0" w:type="dxa"/>
              <w:right w:w="100.0" w:type="dxa"/>
            </w:tcMar>
            <w:vAlign w:val="top"/>
          </w:tcPr>
          <w:p w:rsidR="00000000" w:rsidDel="00000000" w:rsidP="00000000" w:rsidRDefault="00000000" w:rsidRPr="00000000" w14:paraId="000000CE">
            <w:pPr>
              <w:spacing w:after="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 class</w:t>
            </w:r>
          </w:p>
        </w:tc>
        <w:tc>
          <w:tcPr>
            <w:tcBorders>
              <w:top w:color="000000" w:space="0" w:sz="6" w:val="single"/>
              <w:left w:color="000000" w:space="0" w:sz="0" w:val="nil"/>
              <w:bottom w:color="000000" w:space="0" w:sz="6" w:val="single"/>
              <w:right w:color="000000" w:space="0" w:sz="6" w:val="single"/>
            </w:tcBorders>
            <w:shd w:fill="eaf1f3" w:val="clear"/>
            <w:tcMar>
              <w:top w:w="60.0" w:type="dxa"/>
              <w:left w:w="100.0" w:type="dxa"/>
              <w:bottom w:w="60.0" w:type="dxa"/>
              <w:right w:w="100.0" w:type="dxa"/>
            </w:tcMar>
            <w:vAlign w:val="top"/>
          </w:tcPr>
          <w:p w:rsidR="00000000" w:rsidDel="00000000" w:rsidP="00000000" w:rsidRDefault="00000000" w:rsidRPr="00000000" w14:paraId="000000CF">
            <w:pPr>
              <w:spacing w:after="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it looks like</w:t>
            </w:r>
          </w:p>
        </w:tc>
        <w:tc>
          <w:tcPr>
            <w:tcBorders>
              <w:top w:color="000000" w:space="0" w:sz="6" w:val="single"/>
              <w:left w:color="000000" w:space="0" w:sz="0" w:val="nil"/>
              <w:bottom w:color="000000" w:space="0" w:sz="6" w:val="single"/>
              <w:right w:color="000000" w:space="0" w:sz="6" w:val="single"/>
            </w:tcBorders>
            <w:shd w:fill="eaf1f3" w:val="clear"/>
            <w:tcMar>
              <w:top w:w="60.0" w:type="dxa"/>
              <w:left w:w="100.0" w:type="dxa"/>
              <w:bottom w:w="60.0" w:type="dxa"/>
              <w:right w:w="100.0" w:type="dxa"/>
            </w:tcMar>
            <w:vAlign w:val="top"/>
          </w:tcPr>
          <w:p w:rsidR="00000000" w:rsidDel="00000000" w:rsidP="00000000" w:rsidRDefault="00000000" w:rsidRPr="00000000" w14:paraId="000000D0">
            <w:pPr>
              <w:spacing w:after="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Share of defects (E)</w:t>
            </w:r>
          </w:p>
        </w:tc>
        <w:tc>
          <w:tcPr>
            <w:tcBorders>
              <w:top w:color="000000" w:space="0" w:sz="6" w:val="single"/>
              <w:left w:color="000000" w:space="0" w:sz="0" w:val="nil"/>
              <w:bottom w:color="000000" w:space="0" w:sz="6" w:val="single"/>
              <w:right w:color="000000" w:space="0" w:sz="6" w:val="single"/>
            </w:tcBorders>
            <w:shd w:fill="eaf1f3" w:val="clear"/>
            <w:tcMar>
              <w:top w:w="60.0" w:type="dxa"/>
              <w:left w:w="100.0" w:type="dxa"/>
              <w:bottom w:w="60.0" w:type="dxa"/>
              <w:right w:w="100.0" w:type="dxa"/>
            </w:tcMar>
            <w:vAlign w:val="top"/>
          </w:tcPr>
          <w:p w:rsidR="00000000" w:rsidDel="00000000" w:rsidP="00000000" w:rsidRDefault="00000000" w:rsidRPr="00000000" w14:paraId="000000D1">
            <w:pPr>
              <w:spacing w:after="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Frequency (E)</w:t>
            </w:r>
          </w:p>
        </w:tc>
        <w:tc>
          <w:tcPr>
            <w:tcBorders>
              <w:top w:color="000000" w:space="0" w:sz="6" w:val="single"/>
              <w:left w:color="000000" w:space="0" w:sz="0" w:val="nil"/>
              <w:bottom w:color="000000" w:space="0" w:sz="6" w:val="single"/>
              <w:right w:color="000000" w:space="0" w:sz="6" w:val="single"/>
            </w:tcBorders>
            <w:shd w:fill="eaf1f3" w:val="clear"/>
            <w:tcMar>
              <w:top w:w="60.0" w:type="dxa"/>
              <w:left w:w="100.0" w:type="dxa"/>
              <w:bottom w:w="60.0" w:type="dxa"/>
              <w:right w:w="100.0" w:type="dxa"/>
            </w:tcMar>
            <w:vAlign w:val="top"/>
          </w:tcPr>
          <w:p w:rsidR="00000000" w:rsidDel="00000000" w:rsidP="00000000" w:rsidRDefault="00000000" w:rsidRPr="00000000" w14:paraId="000000D2">
            <w:pPr>
              <w:spacing w:after="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Typical unit cost (E)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3">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Extraction / transcription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4">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head or model data mis-read or re-keyed wrongly from PDF, scan or drawing</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5">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6">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of inquiries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7">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AED 600 rework; occasional full requote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8">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Calculation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9">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Head-loss worked from wrong pipe length, material or fitting count; sizing off as a result</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A">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B">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of inquiries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C">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AED 1,900; site failure cases exceed AED 25,000</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D">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Selection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E">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Feasible but wrong model — duty point at curve edge, wrong configuration for the application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F">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E0">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of inquiries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E1">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AED 8,000 avg. (returns, re-orders, commissioning delay)</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E2">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Pricing / commercial</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E3">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Wrong list price, missed cost update, arithmetic in the discount line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E4">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E5">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of inquiries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E6">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AED 3,200 direct margin loss</w:t>
            </w:r>
          </w:p>
        </w:tc>
      </w:tr>
    </w:tbl>
    <w:p w:rsidR="00000000" w:rsidDel="00000000" w:rsidP="00000000" w:rsidRDefault="00000000" w:rsidRPr="00000000" w14:paraId="000000E7">
      <w:pPr>
        <w:spacing w:after="220" w:before="80" w:line="360" w:lineRule="auto"/>
        <w:rPr>
          <w:rFonts w:ascii="Times New Roman" w:cs="Times New Roman" w:eastAsia="Times New Roman" w:hAnsi="Times New Roman"/>
          <w:i w:val="1"/>
          <w:iCs w:val="1"/>
          <w:color w:val="595959"/>
          <w:sz w:val="24"/>
          <w:szCs w:val="24"/>
        </w:rPr>
      </w:pPr>
      <w:r w:rsidDel="00000000" w:rsidR="00000000" w:rsidRPr="00000000">
        <w:rPr>
          <w:rFonts w:ascii="Times New Roman" w:cs="Times New Roman" w:eastAsia="Times New Roman" w:hAnsi="Times New Roman"/>
          <w:i w:val="1"/>
          <w:iCs w:val="1"/>
          <w:color w:val="595959"/>
          <w:sz w:val="24"/>
          <w:szCs w:val="24"/>
          <w:rtl w:val="0"/>
        </w:rPr>
        <w:t xml:space="preserve">Table 4.3. Error taxonomy from the 120-quotation audit and 2025 credit-note ledger. Categories are not mutually exclusive on a given inquiry; frequencies count inquiries where the class appears.</w:t>
      </w:r>
    </w:p>
    <w:p w:rsidR="00000000" w:rsidDel="00000000" w:rsidP="00000000" w:rsidRDefault="00000000" w:rsidRPr="00000000" w14:paraId="000000E8">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Summed across the year, the direct and traceable consequential cost of the four classes comes to roughly 1.2% of revenue (E). The chain matters as much as the total. Nearly every calculation and selection error in the sample began life as an extraction problem — a number read off the wrong riser, a scanned schedule transcribed by eye at the end of a long day. Attack the point of entry and much of the downstream taxonomy loses its supply.</w:t>
      </w:r>
    </w:p>
    <w:p w:rsidR="00000000" w:rsidDel="00000000" w:rsidP="00000000" w:rsidRDefault="00000000" w:rsidRPr="00000000" w14:paraId="000000E9">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larger leak, however, never appears in an error report, because every individual instance of it looks like a reasonable commercial decision. Discounting at the distributor is set case by case, by whoever is pricing, without a reference point in front of them. Matching 2025 quotations on scope and value shows discounts on comparable Tier 2 work ranging from 4% to 18% (M) — not because the jobs differed, but because the days did. Interviews suggest the pattern: under deadline pressure, with the win uncertain and no anchor visible, the safe move is to give a little more away. Estimated against the median discount for like-for-like work, the foregone margin comes to roughly 1.9% of revenue annually (E) — half again as large as all four error classes combined, and invisible precisely because no single decision was wrong. Together, quality cost and discount leakage run to about 3.1% of revenue, and it is this figure the pricing engine in Section 7.5 is designed against.</w:t>
      </w:r>
    </w:p>
    <w:p w:rsidR="00000000" w:rsidDel="00000000" w:rsidP="00000000" w:rsidRDefault="00000000" w:rsidRPr="00000000" w14:paraId="000000EA">
      <w:pPr>
        <w:pStyle w:val="Heading1"/>
        <w:keepNext w:val="0"/>
        <w:keepLines w:val="0"/>
        <w:spacing w:after="140" w:before="320" w:line="360" w:lineRule="auto"/>
        <w:rPr>
          <w:rFonts w:ascii="Times New Roman" w:cs="Times New Roman" w:eastAsia="Times New Roman" w:hAnsi="Times New Roman"/>
          <w:b w:val="1"/>
          <w:bCs w:val="1"/>
          <w:color w:val="1f4e5f"/>
          <w:sz w:val="24"/>
          <w:szCs w:val="24"/>
        </w:rPr>
      </w:pPr>
      <w:bookmarkStart w:colFirst="0" w:colLast="0" w:name="_om4ug7dwp15" w:id="18"/>
      <w:bookmarkEnd w:id="18"/>
      <w:r w:rsidDel="00000000" w:rsidR="00000000" w:rsidRPr="00000000">
        <w:rPr>
          <w:rFonts w:ascii="Times New Roman" w:cs="Times New Roman" w:eastAsia="Times New Roman" w:hAnsi="Times New Roman"/>
          <w:b w:val="1"/>
          <w:bCs w:val="1"/>
          <w:color w:val="1f4e5f"/>
          <w:sz w:val="24"/>
          <w:szCs w:val="24"/>
          <w:rtl w:val="0"/>
        </w:rPr>
        <w:t xml:space="preserve">4.5 The Innovo inquiry: Guggenheim Abu Dhabi, as-is</w:t>
      </w:r>
    </w:p>
    <w:p w:rsidR="00000000" w:rsidDel="00000000" w:rsidP="00000000" w:rsidRDefault="00000000" w:rsidRPr="00000000" w14:paraId="000000E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numbers above describe the process in aggregate. One inquiry shows what they feel like from inside. On a Thursday at around 16:30, the Abu Dhabi branch received an email from Innovo Contracting, the pump package for the Guggenheim Abu Dhabi development. The scope was large, roughly 75 pumps across five applications, booster, transfer, sewage, circulation, and chilled water, with a specification extract running to dozens of pages, pump schedules scanned as images, and riser diagrams covering several buildings. The contractor's own submission deadline was the following Tuesday.</w:t>
      </w:r>
    </w:p>
    <w:p w:rsidR="00000000" w:rsidDel="00000000" w:rsidP="00000000" w:rsidRDefault="00000000" w:rsidRPr="00000000" w14:paraId="000000E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criteria of 4.2 this was a large Tier 3 inquiry. Worked properly it needed close to 28 hours of estimating effort. The branch has two estimators. Line managers brought both in over the weekend on overtime and pulled a third estimator across from another desk to help. Even with three people and the weekend, the volume was too much to finish cleanly by Tuesday.</w:t>
      </w:r>
    </w:p>
    <w:tbl>
      <w:tblPr>
        <w:tblStyle w:val="Table5"/>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4140"/>
        <w:gridCol w:w="1245"/>
        <w:gridCol w:w="1260"/>
        <w:tblGridChange w:id="0">
          <w:tblGrid>
            <w:gridCol w:w="1635"/>
            <w:gridCol w:w="4140"/>
            <w:gridCol w:w="1245"/>
            <w:gridCol w:w="126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0E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w:t>
            </w:r>
          </w:p>
        </w:tc>
        <w:tc>
          <w:tcPr>
            <w:tcBorders>
              <w:top w:color="000000" w:space="0" w:sz="8" w:val="single"/>
              <w:left w:color="000000" w:space="0" w:sz="0" w:val="nil"/>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0E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happened</w:t>
            </w:r>
          </w:p>
        </w:tc>
        <w:tc>
          <w:tcPr>
            <w:tcBorders>
              <w:top w:color="000000" w:space="0" w:sz="8" w:val="single"/>
              <w:left w:color="000000" w:space="0" w:sz="0" w:val="nil"/>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0E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Touch</w:t>
            </w:r>
          </w:p>
        </w:tc>
        <w:tc>
          <w:tcPr>
            <w:tcBorders>
              <w:top w:color="000000" w:space="0" w:sz="8" w:val="single"/>
              <w:left w:color="000000" w:space="0" w:sz="0" w:val="nil"/>
              <w:bottom w:color="000000" w:space="0" w:sz="8" w:val="single"/>
              <w:right w:color="000000" w:space="0" w:sz="8" w:val="single"/>
            </w:tcBorders>
            <w:shd w:fill="d9d9d9" w:val="clear"/>
            <w:tcMar>
              <w:top w:w="40.0" w:type="dxa"/>
              <w:left w:w="80.0" w:type="dxa"/>
              <w:bottom w:w="40.0" w:type="dxa"/>
              <w:right w:w="80.0" w:type="dxa"/>
            </w:tcMar>
            <w:vAlign w:val="top"/>
          </w:tcPr>
          <w:p w:rsidR="00000000" w:rsidDel="00000000" w:rsidP="00000000" w:rsidRDefault="00000000" w:rsidRPr="00000000" w14:paraId="000000F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Waiting</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16:30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Inquiry received; sits unread overnight in the shared mailbox</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 10:15</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Triaged and assigned to an estimator</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 h</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17.5 h</w:t>
            </w:r>
          </w:p>
        </w:tc>
      </w:tr>
      <w:tr>
        <w:trPr>
          <w:cantSplit w:val="0"/>
          <w:trHeight w:val="124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 – Sat</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Specification, schedules and drawings read across all five applications; schedules transcribed by hand; gaps found on two systems, static head ambiguous between risers and flow missing for the transfer set</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 h</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 h</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 14:00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Consolidated clarification drafted and sent to the contractor</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0F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 h</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 h</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Tue 11:20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Contractor replies (weekend plus Monday in between); reply read and filed</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h</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Tue – Wed</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Head-loss calculations for all five systems</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h</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h</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Wed – Thu</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selection in the manufacturer software across 75 pumps; several booster and chilled-water duty points fall near the curve edge</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h</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h</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estimator pulled in to confirm the curve-edge selections; booster set re-checked after a static-head reading is questioned</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h</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h</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Pricing and discount debated across the package between sales and estimation</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1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h</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1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h</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(next)</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Quotation assembled and issued, two days after the Tuesday deadline</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1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h</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1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 h</w:t>
            </w:r>
          </w:p>
        </w:tc>
      </w:tr>
    </w:tbl>
    <w:p w:rsidR="00000000" w:rsidDel="00000000" w:rsidP="00000000" w:rsidRDefault="00000000" w:rsidRPr="00000000" w14:paraId="00000119">
      <w:pPr>
        <w:spacing w:after="200" w:before="6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Table 4.4. The Innovo inquiry, timestamped from mailbox records and the estimators' logs (M). Touch total: 28 hours. Elapsed: seven calendar days, quote issued two days past the deadline.</w:t>
      </w:r>
    </w:p>
    <w:p w:rsidR="00000000" w:rsidDel="00000000" w:rsidP="00000000" w:rsidRDefault="00000000" w:rsidRPr="00000000" w14:paraId="0000011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Seven calendar days from receipt to quotation, and twenty eight hours of actual work spread across three estimators and a weekend. By the criteria of 4.2 this was a large Tier 3 inquiry, 75 pumps across five applications, and it landed well above the Tier 3 median in Table 4.2. What made it memorable inside the office was not that it was unusual. It was that the process simply could not absorb a job this size inside the deadline, however many people were thrown at it.</w:t>
      </w:r>
    </w:p>
    <w:p w:rsidR="00000000" w:rsidDel="00000000" w:rsidP="00000000" w:rsidRDefault="00000000" w:rsidRPr="00000000" w14:paraId="0000011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nearly went wrong. On one riser the static head was first read from the wrong drawing, an extraction error that would have undersized the booster set for the taller building, and it was caught only because the odd duty point prompted a second look. And the contractor's Tuesday reply sat unread for a stretch because nothing in the process flags a waiting inquiry when its answer arrives. Had either near-miss landed differently, the outcome would have been a defective quote on top of a late one, on a marquee project. Innovo's management escalated to Khoory's leadership over the delay, and a face to face meeting was needed before the relationship settled. Khoory eventually won the project, but the quotation itself was late, and it nearly went out wrong.</w:t>
      </w:r>
    </w:p>
    <w:p w:rsidR="00000000" w:rsidDel="00000000" w:rsidP="00000000" w:rsidRDefault="00000000" w:rsidRPr="00000000" w14:paraId="0000011C">
      <w:pPr>
        <w:spacing w:after="1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pStyle w:val="Heading1"/>
        <w:keepNext w:val="0"/>
        <w:keepLines w:val="0"/>
        <w:spacing w:after="140" w:before="320" w:line="360" w:lineRule="auto"/>
        <w:rPr>
          <w:rFonts w:ascii="Times New Roman" w:cs="Times New Roman" w:eastAsia="Times New Roman" w:hAnsi="Times New Roman"/>
          <w:b w:val="1"/>
          <w:bCs w:val="1"/>
          <w:color w:val="1f4e5f"/>
          <w:sz w:val="24"/>
          <w:szCs w:val="24"/>
        </w:rPr>
      </w:pPr>
      <w:bookmarkStart w:colFirst="0" w:colLast="0" w:name="_aoih3m617ng" w:id="19"/>
      <w:bookmarkEnd w:id="19"/>
      <w:r w:rsidDel="00000000" w:rsidR="00000000" w:rsidRPr="00000000">
        <w:rPr>
          <w:rFonts w:ascii="Times New Roman" w:cs="Times New Roman" w:eastAsia="Times New Roman" w:hAnsi="Times New Roman"/>
          <w:b w:val="1"/>
          <w:bCs w:val="1"/>
          <w:color w:val="1f4e5f"/>
          <w:sz w:val="24"/>
          <w:szCs w:val="24"/>
          <w:rtl w:val="0"/>
        </w:rPr>
        <w:t xml:space="preserve">4.7 Root causes</w:t>
      </w:r>
    </w:p>
    <w:p w:rsidR="00000000" w:rsidDel="00000000" w:rsidP="00000000" w:rsidRDefault="00000000" w:rsidRPr="00000000" w14:paraId="0000011E">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Compressing the evidence of this section — the swimlane timings, the tier metrics, the error audit, and the Innovo inquiry — yields four root causes, shown as a driver tree in Exhibit 4.3. They are worth stating separately because each demands a different remedy, and a design that fixes three while ignoring the fourth forfeits much of the gain.</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28702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20" w:before="80" w:line="360" w:lineRule="auto"/>
        <w:rPr>
          <w:rFonts w:ascii="Times New Roman" w:cs="Times New Roman" w:eastAsia="Times New Roman" w:hAnsi="Times New Roman"/>
          <w:i w:val="1"/>
          <w:iCs w:val="1"/>
          <w:color w:val="595959"/>
          <w:sz w:val="24"/>
          <w:szCs w:val="24"/>
        </w:rPr>
      </w:pPr>
      <w:r w:rsidDel="00000000" w:rsidR="00000000" w:rsidRPr="00000000">
        <w:rPr>
          <w:rFonts w:ascii="Times New Roman" w:cs="Times New Roman" w:eastAsia="Times New Roman" w:hAnsi="Times New Roman"/>
          <w:i w:val="1"/>
          <w:iCs w:val="1"/>
          <w:color w:val="595959"/>
          <w:sz w:val="24"/>
          <w:szCs w:val="24"/>
          <w:rtl w:val="0"/>
        </w:rPr>
        <w:t xml:space="preserve">Exhibit 4.3. Four root causes behind the observed cycle times, quality costs and margin leakage. Each maps to a specific element of the proposed design in Section 7.</w:t>
      </w:r>
    </w:p>
    <w:p w:rsidR="00000000" w:rsidDel="00000000" w:rsidP="00000000" w:rsidRDefault="00000000" w:rsidRPr="00000000" w14:paraId="00000120">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Unstructured inputs. </w:t>
      </w:r>
      <w:r w:rsidDel="00000000" w:rsidR="00000000" w:rsidRPr="00000000">
        <w:rPr>
          <w:rFonts w:ascii="Times New Roman" w:cs="Times New Roman" w:eastAsia="Times New Roman" w:hAnsi="Times New Roman"/>
          <w:sz w:val="24"/>
          <w:szCs w:val="24"/>
          <w:rtl w:val="0"/>
        </w:rPr>
        <w:t xml:space="preserve">Every technical fact the process needs arrives locked inside a PDF, a scan, or a sentence in an email, and is released only by an estimator reading and re-keying it. This is where 1.5 hours of every Tier 2 inquiry goes, and where 41% of defects begin. The Innovo near-miss was this cause in miniature.</w:t>
      </w:r>
    </w:p>
    <w:p w:rsidR="00000000" w:rsidDel="00000000" w:rsidP="00000000" w:rsidRDefault="00000000" w:rsidRPr="00000000" w14:paraId="00000121">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serial expert bottleneck. </w:t>
      </w:r>
      <w:r w:rsidDel="00000000" w:rsidR="00000000" w:rsidRPr="00000000">
        <w:rPr>
          <w:rFonts w:ascii="Times New Roman" w:cs="Times New Roman" w:eastAsia="Times New Roman" w:hAnsi="Times New Roman"/>
          <w:sz w:val="24"/>
          <w:szCs w:val="24"/>
          <w:rtl w:val="0"/>
        </w:rPr>
        <w:t xml:space="preserve">One estimator owns an inquiry end to end, so work waits for a person rather than a task, and the scarcest expertise — two people for chilled water — sets the pace for the most valuable inquiries. The 84–87% queue share in Exhibit 4.2 is the signature of serial ownership, not of slow work.</w:t>
      </w:r>
    </w:p>
    <w:p w:rsidR="00000000" w:rsidDel="00000000" w:rsidP="00000000" w:rsidRDefault="00000000" w:rsidRPr="00000000" w14:paraId="00000122">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Clarification ping-pong. </w:t>
      </w:r>
      <w:r w:rsidDel="00000000" w:rsidR="00000000" w:rsidRPr="00000000">
        <w:rPr>
          <w:rFonts w:ascii="Times New Roman" w:cs="Times New Roman" w:eastAsia="Times New Roman" w:hAnsi="Times New Roman"/>
          <w:sz w:val="24"/>
          <w:szCs w:val="24"/>
          <w:rtl w:val="0"/>
        </w:rPr>
        <w:t xml:space="preserve">Gaps in the data are discovered mid-process, one at a time, each triggering a round trip to the contractor at a median cost of 41 working hours — and nothing alerts anyone when the answer lands. Thirty-eight percent of inquiries need at least one loop (M); complex inquiries often need two.</w:t>
      </w:r>
    </w:p>
    <w:p w:rsidR="00000000" w:rsidDel="00000000" w:rsidP="00000000" w:rsidRDefault="00000000" w:rsidRPr="00000000" w14:paraId="00000123">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pricing discipline. </w:t>
      </w:r>
      <w:r w:rsidDel="00000000" w:rsidR="00000000" w:rsidRPr="00000000">
        <w:rPr>
          <w:rFonts w:ascii="Times New Roman" w:cs="Times New Roman" w:eastAsia="Times New Roman" w:hAnsi="Times New Roman"/>
          <w:sz w:val="24"/>
          <w:szCs w:val="24"/>
          <w:rtl w:val="0"/>
        </w:rPr>
        <w:t xml:space="preserve">Discounts are set without reference points, producing a 4–18% spread on comparable work and the largest single leak in the system. Unlike the other three causes, this one costs nothing in time — only in money, quietly, on jobs that were won.</w:t>
      </w:r>
    </w:p>
    <w:p w:rsidR="00000000" w:rsidDel="00000000" w:rsidP="00000000" w:rsidRDefault="00000000" w:rsidRPr="00000000" w14:paraId="00000124">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four causes are the requirements specification for everything that follows. The intake and extraction layer of Section 7 exists because of the first; confidence-based routing and parallel task design because of the second; automated completeness checks and clarification tracking because of the third; and the rules-based pricing engine because of the fourth. The current state, measured honestly, is the design brief.</w:t>
      </w:r>
      <w:r w:rsidDel="00000000" w:rsidR="00000000" w:rsidRPr="00000000">
        <w:rPr>
          <w:rtl w:val="0"/>
        </w:rPr>
      </w:r>
    </w:p>
    <w:p w:rsidR="00000000" w:rsidDel="00000000" w:rsidP="00000000" w:rsidRDefault="00000000" w:rsidRPr="00000000" w14:paraId="00000125">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ji07bpy3250g" w:id="20"/>
      <w:bookmarkEnd w:id="20"/>
      <w:r w:rsidDel="00000000" w:rsidR="00000000" w:rsidRPr="00000000">
        <w:rPr>
          <w:rFonts w:ascii="Times New Roman" w:cs="Times New Roman" w:eastAsia="Times New Roman" w:hAnsi="Times New Roman"/>
          <w:b w:val="1"/>
          <w:bCs w:val="1"/>
          <w:color w:val="2e6e7e"/>
          <w:sz w:val="24"/>
          <w:szCs w:val="24"/>
          <w:rtl w:val="0"/>
        </w:rPr>
        <w:t xml:space="preserve">4.6 Voice of the customer (½–1 page)</w:t>
      </w:r>
    </w:p>
    <w:p w:rsidR="00000000" w:rsidDel="00000000" w:rsidP="00000000" w:rsidRDefault="00000000" w:rsidRPr="00000000" w14:paraId="00000127">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Provided: </w:t>
      </w:r>
      <w:r w:rsidDel="00000000" w:rsidR="00000000" w:rsidRPr="00000000">
        <w:rPr>
          <w:rFonts w:ascii="Times New Roman" w:cs="Times New Roman" w:eastAsia="Times New Roman" w:hAnsi="Times New Roman"/>
          <w:sz w:val="24"/>
          <w:szCs w:val="24"/>
          <w:rtl w:val="0"/>
        </w:rPr>
        <w:t xml:space="preserve">4–6 contractor interviews: what drives supplier choice, how much speed matters vs. price, and — now doubly important — </w:t>
      </w:r>
      <w:r w:rsidDel="00000000" w:rsidR="00000000" w:rsidRPr="00000000">
        <w:rPr>
          <w:rFonts w:ascii="Times New Roman" w:cs="Times New Roman" w:eastAsia="Times New Roman" w:hAnsi="Times New Roman"/>
          <w:b w:val="1"/>
          <w:bCs w:val="1"/>
          <w:sz w:val="24"/>
          <w:szCs w:val="24"/>
          <w:rtl w:val="0"/>
        </w:rPr>
        <w:t xml:space="preserve">their stated reaction to the hypothetical of an automated quote</w:t>
      </w:r>
      <w:r w:rsidDel="00000000" w:rsidR="00000000" w:rsidRPr="00000000">
        <w:rPr>
          <w:rFonts w:ascii="Times New Roman" w:cs="Times New Roman" w:eastAsia="Times New Roman" w:hAnsi="Times New Roman"/>
          <w:sz w:val="24"/>
          <w:szCs w:val="24"/>
          <w:rtl w:val="0"/>
        </w:rPr>
        <w:t xml:space="preserve">. Because you cannot observe real behaviour toward the system, their stated preferences are your only demand-side evidence; gather them carefully and quote 2–3 verbatim.</w:t>
      </w:r>
      <w:r w:rsidDel="00000000" w:rsidR="00000000" w:rsidRPr="00000000">
        <w:rPr>
          <w:rtl w:val="0"/>
        </w:rPr>
      </w:r>
    </w:p>
    <w:p w:rsidR="00000000" w:rsidDel="00000000" w:rsidP="00000000" w:rsidRDefault="00000000" w:rsidRPr="00000000" w14:paraId="00000128">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100" w:line="360" w:lineRule="auto"/>
        <w:rPr>
          <w:rFonts w:ascii="Times New Roman" w:cs="Times New Roman" w:eastAsia="Times New Roman" w:hAnsi="Times New Roman"/>
          <w:color w:val="1f4e5f"/>
          <w:sz w:val="24"/>
          <w:szCs w:val="24"/>
        </w:rPr>
      </w:pPr>
      <w:r w:rsidDel="00000000" w:rsidR="00000000" w:rsidRPr="00000000">
        <w:rPr>
          <w:rFonts w:ascii="Times New Roman" w:cs="Times New Roman" w:eastAsia="Times New Roman" w:hAnsi="Times New Roman"/>
          <w:color w:val="1f4e5f"/>
          <w:sz w:val="24"/>
          <w:szCs w:val="24"/>
          <w:rtl w:val="0"/>
        </w:rPr>
        <w:t xml:space="preserve">Section 5 — Literature &amp; Industry Context</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Author's note (remove before submission): the works cited below are established literature in their fields, but every citation must be verified against the original source, page-checked where quoted figures appear, and formatted to the programme's referencing standard before submission. Subsection 5.5 is a deliberate placeholder pending documentation of the authors' simulation platform.</w:t>
      </w:r>
    </w:p>
    <w:p w:rsidR="00000000" w:rsidDel="00000000" w:rsidP="00000000" w:rsidRDefault="00000000" w:rsidRPr="00000000" w14:paraId="0000012B">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draws on four bodies of work, and a fifth that grounds its method. Each is treated briefly and instrumentally: a source appears here only because a later section leans on it, and the rule adopted throughout is that anything cited in this section is cited again where it does its work. The review makes no claim to be comprehensive; it establishes what is already known so that the paper's contribution — an ex-ante case for automating one distributor's technical function — stands on ground rather than air.</w:t>
      </w:r>
    </w:p>
    <w:p w:rsidR="00000000" w:rsidDel="00000000" w:rsidP="00000000" w:rsidRDefault="00000000" w:rsidRPr="00000000" w14:paraId="0000012C">
      <w:pPr>
        <w:pStyle w:val="Heading1"/>
        <w:keepNext w:val="0"/>
        <w:keepLines w:val="0"/>
        <w:spacing w:after="140" w:before="300" w:line="360" w:lineRule="auto"/>
        <w:rPr>
          <w:rFonts w:ascii="Times New Roman" w:cs="Times New Roman" w:eastAsia="Times New Roman" w:hAnsi="Times New Roman"/>
          <w:b w:val="1"/>
          <w:bCs w:val="1"/>
          <w:color w:val="1f4e5f"/>
          <w:sz w:val="24"/>
          <w:szCs w:val="24"/>
        </w:rPr>
      </w:pPr>
      <w:bookmarkStart w:colFirst="0" w:colLast="0" w:name="_42bbt1di49bj" w:id="21"/>
      <w:bookmarkEnd w:id="21"/>
      <w:r w:rsidDel="00000000" w:rsidR="00000000" w:rsidRPr="00000000">
        <w:rPr>
          <w:rFonts w:ascii="Times New Roman" w:cs="Times New Roman" w:eastAsia="Times New Roman" w:hAnsi="Times New Roman"/>
          <w:b w:val="1"/>
          <w:bCs w:val="1"/>
          <w:color w:val="1f4e5f"/>
          <w:sz w:val="24"/>
          <w:szCs w:val="24"/>
          <w:rtl w:val="0"/>
        </w:rPr>
        <w:t xml:space="preserve">5.1 Digitization of B2B distribution and the disintermediation debate</w:t>
      </w:r>
    </w:p>
    <w:p w:rsidR="00000000" w:rsidDel="00000000" w:rsidP="00000000" w:rsidRDefault="00000000" w:rsidRPr="00000000" w14:paraId="0000012D">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oldest question raised by this paper is whether digitizing a distributor's core function hastens the distributor's own removal. Early electronic-commerce research answered yes: where markets move online, transaction costs fall and manufacturers deal directly with buyers, squeezing intermediaries out (Benjamin and Wigand, 1995). The counter-position emerged almost immediately — intermediaries do more than pass product, and new electronic forms of intermediation appear even as old ones dissolve (Sarkar, Butler and Steinfield, 1995). Chircu and Kauffman (2000) reconciled the two in a cycle they termed intermediation–disintermediation–reintermediation: incumbents that are displaced by digital channels can re-enter by absorbing the technology into the functions that made them valuable, provided they move before a substitute occupies the position. Two decades of practitioner research on wholesale distribution has broadly confirmed the pattern — distribution has consolidated and digitized rather than disappeared, with the gains accruing to distributors that made their differentiating capability digital first.</w:t>
      </w:r>
    </w:p>
    <w:p w:rsidR="00000000" w:rsidDel="00000000" w:rsidP="00000000" w:rsidRDefault="00000000" w:rsidRPr="00000000" w14:paraId="0000012E">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relevance to this paper is direct. Section 2 identified three pillars that justify the distributor's position — technical expertise, credit, and local presence — and this study proposes to digitize the first. The IDR framing converts that from a tactical efficiency question into the strategic one Section 10 resolves: whether automating technical expertise makes the distributor the platform of record for its market, or merely writes the manual for its own replacement. The literature's answer is conditional on sequence, and sequence is a choice.</w:t>
      </w:r>
    </w:p>
    <w:p w:rsidR="00000000" w:rsidDel="00000000" w:rsidP="00000000" w:rsidRDefault="00000000" w:rsidRPr="00000000" w14:paraId="0000012F">
      <w:pPr>
        <w:pStyle w:val="Heading1"/>
        <w:keepNext w:val="0"/>
        <w:keepLines w:val="0"/>
        <w:spacing w:after="140" w:before="300" w:line="360" w:lineRule="auto"/>
        <w:rPr>
          <w:rFonts w:ascii="Times New Roman" w:cs="Times New Roman" w:eastAsia="Times New Roman" w:hAnsi="Times New Roman"/>
          <w:b w:val="1"/>
          <w:bCs w:val="1"/>
          <w:color w:val="1f4e5f"/>
          <w:sz w:val="24"/>
          <w:szCs w:val="24"/>
        </w:rPr>
      </w:pPr>
      <w:bookmarkStart w:colFirst="0" w:colLast="0" w:name="_s00upgwlk8n4" w:id="22"/>
      <w:bookmarkEnd w:id="22"/>
      <w:r w:rsidDel="00000000" w:rsidR="00000000" w:rsidRPr="00000000">
        <w:rPr>
          <w:rFonts w:ascii="Times New Roman" w:cs="Times New Roman" w:eastAsia="Times New Roman" w:hAnsi="Times New Roman"/>
          <w:b w:val="1"/>
          <w:bCs w:val="1"/>
          <w:color w:val="1f4e5f"/>
          <w:sz w:val="24"/>
          <w:szCs w:val="24"/>
          <w:rtl w:val="0"/>
        </w:rPr>
        <w:t xml:space="preserve">5.2 CPQ systems and their limits for engineered-to-spec product</w:t>
      </w:r>
    </w:p>
    <w:p w:rsidR="00000000" w:rsidDel="00000000" w:rsidP="00000000" w:rsidRDefault="00000000" w:rsidRPr="00000000" w14:paraId="00000130">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Configure-price-quote software is the established commercial category closest to this paper's proposal, and its logic descends from the product-configuration research of the 1990s and 2000s: where a product family can be described by enumerable options and compatibility rules, a configurator can replace expert intervention in the sales process, and does so reliably (Forza and Salvador, 2002; 2007). Industry analysts define the mature CPQ category accordingly — guided configuration, rule-based pricing, and automated quote assembly on top of structured inputs.</w:t>
      </w:r>
    </w:p>
    <w:p w:rsidR="00000000" w:rsidDel="00000000" w:rsidP="00000000" w:rsidRDefault="00000000" w:rsidRPr="00000000" w14:paraId="00000131">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qualifier carries the weight: structured inputs. CPQ assumes the selling company already knows, in machine-readable form, what the customer needs; its intelligence begins after intake. Engineered-to-order environments violate that assumption at both ends — requirements arrive as drawings and specifications rather than option selections, and the mapping from requirement to product runs through engineering calculation rather than compatibility rules (Hicks, McGovern and Earl, 2000). A pump distributor's RFQ is a textbook instance: the flow, head, and pipework data that determine the answer are locked inside PDFs and riser diagrams, and the answer itself requires hydraulic computation no configurator performs. This gap is why Section 6 treats off-the-shelf CPQ as a component of the proposed design — it remains the right machinery for pricing discipline and quote assembly — rather than as an alternative to it. What the category has never solved, and what this paper's design must, is the unstructured front door.</w:t>
      </w:r>
    </w:p>
    <w:p w:rsidR="00000000" w:rsidDel="00000000" w:rsidP="00000000" w:rsidRDefault="00000000" w:rsidRPr="00000000" w14:paraId="00000132">
      <w:pPr>
        <w:pStyle w:val="Heading1"/>
        <w:keepNext w:val="0"/>
        <w:keepLines w:val="0"/>
        <w:spacing w:after="140" w:before="300" w:line="360" w:lineRule="auto"/>
        <w:rPr>
          <w:rFonts w:ascii="Times New Roman" w:cs="Times New Roman" w:eastAsia="Times New Roman" w:hAnsi="Times New Roman"/>
          <w:b w:val="1"/>
          <w:bCs w:val="1"/>
          <w:color w:val="1f4e5f"/>
          <w:sz w:val="24"/>
          <w:szCs w:val="24"/>
        </w:rPr>
      </w:pPr>
      <w:bookmarkStart w:colFirst="0" w:colLast="0" w:name="_nmxliyy56svv" w:id="23"/>
      <w:bookmarkEnd w:id="23"/>
      <w:r w:rsidDel="00000000" w:rsidR="00000000" w:rsidRPr="00000000">
        <w:rPr>
          <w:rFonts w:ascii="Times New Roman" w:cs="Times New Roman" w:eastAsia="Times New Roman" w:hAnsi="Times New Roman"/>
          <w:b w:val="1"/>
          <w:bCs w:val="1"/>
          <w:color w:val="1f4e5f"/>
          <w:sz w:val="24"/>
          <w:szCs w:val="24"/>
          <w:rtl w:val="0"/>
        </w:rPr>
        <w:t xml:space="preserve">5.3 AI document understanding: what the benchmarks do and do not promise</w:t>
      </w:r>
    </w:p>
    <w:p w:rsidR="00000000" w:rsidDel="00000000" w:rsidP="00000000" w:rsidRDefault="00000000" w:rsidRPr="00000000" w14:paraId="00000133">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this study fields no prototype, published evidence on machine reading of business documents is load-bearing: it supplies the priors that the feasibility audit in 8.1 maps onto the distributor's own document mix, and it must therefore be reported with its flattering and unflattering sides intact. The flattering side is genuine. Layout-aware and vision-language models (Xu et al., 2020; Kim et al., 2022) have driven performance on the standard document-understanding benchmarks — DocVQA for question answering over document images (Mathew et al., 2021), FUNSD for noisy scanned forms (Jaume et al., 2019), SROIE and CORD for receipt-style key-field extraction — to levels that were out of reach five years ago, with the strongest current pipelines answering well above 90% of DocVQA items and specialist parsing systems reporting near-ceiling results on that benchmark.</w:t>
      </w:r>
    </w:p>
    <w:p w:rsidR="00000000" w:rsidDel="00000000" w:rsidP="00000000" w:rsidRDefault="00000000" w:rsidRPr="00000000" w14:paraId="00000134">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unflattering side is equally documented and matters more to this paper. Benchmark corpora are dominated by curated, single-genre documents — forms, receipts, clean scans — while recent evaluation work on enterprise extraction shows accuracy degrading sharply as target schemas widen and documents lengthen, with models that produce validly structured output still failing on correctness of the values inside it. Performance also varies materially across parsing pipelines and model versions, in both directions. The distributor's reality sits closer to the hard end of that spectrum: multi-column pump schedules scanned as images, specification extracts running to dozens of pages, units and symbols that differ by consultant. And one piece of arithmetic reframes even optimistic per-field accuracy: at 95% per field, a twelve-field schema is fully correct only about 54% of the time (0.95¹²). That arithmetic — not any distrust of the models — is why the Section 7 design carries per-field confidence scores, validation gates, and human review as structural features rather than as caution. The published ranges justify attempting extraction; they do not justify trusting it unexamined, and the audit in 8.1 exists to establish where on the published spectrum this distributor's documents actually fall.</w:t>
      </w:r>
    </w:p>
    <w:p w:rsidR="00000000" w:rsidDel="00000000" w:rsidP="00000000" w:rsidRDefault="00000000" w:rsidRPr="00000000" w14:paraId="00000135">
      <w:pPr>
        <w:pStyle w:val="Heading1"/>
        <w:keepNext w:val="0"/>
        <w:keepLines w:val="0"/>
        <w:spacing w:after="140" w:before="300" w:line="360" w:lineRule="auto"/>
        <w:rPr>
          <w:rFonts w:ascii="Times New Roman" w:cs="Times New Roman" w:eastAsia="Times New Roman" w:hAnsi="Times New Roman"/>
          <w:b w:val="1"/>
          <w:bCs w:val="1"/>
          <w:color w:val="1f4e5f"/>
          <w:sz w:val="24"/>
          <w:szCs w:val="24"/>
        </w:rPr>
      </w:pPr>
      <w:bookmarkStart w:colFirst="0" w:colLast="0" w:name="_z5otghtv6eok" w:id="24"/>
      <w:bookmarkEnd w:id="24"/>
      <w:r w:rsidDel="00000000" w:rsidR="00000000" w:rsidRPr="00000000">
        <w:rPr>
          <w:rFonts w:ascii="Times New Roman" w:cs="Times New Roman" w:eastAsia="Times New Roman" w:hAnsi="Times New Roman"/>
          <w:b w:val="1"/>
          <w:bCs w:val="1"/>
          <w:color w:val="1f4e5f"/>
          <w:sz w:val="24"/>
          <w:szCs w:val="24"/>
          <w:rtl w:val="0"/>
        </w:rPr>
        <w:t xml:space="preserve">5.4 Human-in-the-loop automation</w:t>
      </w:r>
    </w:p>
    <w:p w:rsidR="00000000" w:rsidDel="00000000" w:rsidP="00000000" w:rsidRDefault="00000000" w:rsidRPr="00000000" w14:paraId="00000136">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decades of human-factors research warns that the failure mode of partial automation is rarely the machine's error alone — it is the human's changed relationship to the task. Parasuraman and Riley (1997) established the vocabulary of use, misuse and disuse: operators over-rely on automation that is usually right, and abandon automation that has embarrassed them, in neither case calibrating to its actual reliability. Automation bias — accepting a machine suggestion in place of one's own vigilance — produces measurable omission and commission errors even among trained professionals, as the systematic evidence from clinical decision support shows (Goddard, Roudsari and Wyatt, 2012), and it strengthens when the human feels less accountable for the outcome (Skitka, Mosier and Burdick, 1999). Parasuraman, Sheridan and Wickens (2000) supplied the design response: automation is not a switch but a set of levels applied per function, chosen deliberately.</w:t>
      </w:r>
    </w:p>
    <w:p w:rsidR="00000000" w:rsidDel="00000000" w:rsidP="00000000" w:rsidRDefault="00000000" w:rsidRPr="00000000" w14:paraId="00000137">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Section 7.6 routing design is an application of exactly these findings. Confidence is displayed rather than hidden, so the engineer's trust has something to calibrate against; uncertain fields arrive flagged rather than silently completed, forcing engagement where it is needed; release is an explicit act with a name attached, preserving the accountability that the bias literature shows keeps reviewers vigilant; and the level of automation is set per tier and per function, not for the system as a whole. The literature's uncomfortable implication is retained rather than argued away: a reviewer who approves ninety-nine good drafts is primed to approve the hundredth, and the value-gated release rules and override logging in 7.6 are the design's admission of it.</w:t>
      </w:r>
    </w:p>
    <w:p w:rsidR="00000000" w:rsidDel="00000000" w:rsidP="00000000" w:rsidRDefault="00000000" w:rsidRPr="00000000" w14:paraId="00000138">
      <w:pPr>
        <w:pStyle w:val="Heading1"/>
        <w:keepNext w:val="0"/>
        <w:keepLines w:val="0"/>
        <w:spacing w:after="140" w:before="300" w:line="360" w:lineRule="auto"/>
        <w:rPr>
          <w:rFonts w:ascii="Times New Roman" w:cs="Times New Roman" w:eastAsia="Times New Roman" w:hAnsi="Times New Roman"/>
          <w:b w:val="1"/>
          <w:bCs w:val="1"/>
          <w:color w:val="1f4e5f"/>
          <w:sz w:val="24"/>
          <w:szCs w:val="24"/>
        </w:rPr>
      </w:pPr>
      <w:bookmarkStart w:colFirst="0" w:colLast="0" w:name="_n6vqmgwqsijn" w:id="25"/>
      <w:bookmarkEnd w:id="25"/>
      <w:r w:rsidDel="00000000" w:rsidR="00000000" w:rsidRPr="00000000">
        <w:rPr>
          <w:rFonts w:ascii="Times New Roman" w:cs="Times New Roman" w:eastAsia="Times New Roman" w:hAnsi="Times New Roman"/>
          <w:b w:val="1"/>
          <w:bCs w:val="1"/>
          <w:color w:val="1f4e5f"/>
          <w:sz w:val="24"/>
          <w:szCs w:val="24"/>
          <w:rtl w:val="0"/>
        </w:rPr>
        <w:t xml:space="preserve">5.5 Ex-ante evaluation and simulation in operations</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PLACEHOLDER — to be completed. </w:t>
      </w:r>
      <w:r w:rsidDel="00000000" w:rsidR="00000000" w:rsidRPr="00000000">
        <w:rPr>
          <w:rFonts w:ascii="Times New Roman" w:cs="Times New Roman" w:eastAsia="Times New Roman" w:hAnsi="Times New Roman"/>
          <w:sz w:val="24"/>
          <w:szCs w:val="24"/>
          <w:rtl w:val="0"/>
        </w:rPr>
        <w:t xml:space="preserve">This subsection will ground the method of Section 8: the use of business-process simulation to evaluate an operational investment before it is built. It will (i) briefly situate discrete-event and Monte Carlo simulation of service operations in the operations-management literature, (ii) note precedents for simulation-based investment cases, and (iii) introduce the authors' own operations-simulation platform — its modelling approach, calibration method, and validation logic — which is the instrument used in 8.2. Content is pending documentation of the platform's methodology and will be supplied by the authors; two to three citations are expected to be sufficient. Target length: one paragraph.</w:t>
      </w:r>
    </w:p>
    <w:p w:rsidR="00000000" w:rsidDel="00000000" w:rsidP="00000000" w:rsidRDefault="00000000" w:rsidRPr="00000000" w14:paraId="0000013A">
      <w:pPr>
        <w:spacing w:after="80" w:line="360" w:lineRule="auto"/>
        <w:ind w:left="700" w:hanging="2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12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Rule: every citation must be re-cited in Sections 6–11 or deleted.</w:t>
      </w:r>
    </w:p>
    <w:p w:rsidR="00000000" w:rsidDel="00000000" w:rsidP="00000000" w:rsidRDefault="00000000" w:rsidRPr="00000000" w14:paraId="0000013C">
      <w:pPr>
        <w:pStyle w:val="Heading1"/>
        <w:keepNext w:val="0"/>
        <w:keepLines w:val="0"/>
        <w:spacing w:after="140" w:before="0" w:line="360" w:lineRule="auto"/>
        <w:rPr>
          <w:rFonts w:ascii="Times New Roman" w:cs="Times New Roman" w:eastAsia="Times New Roman" w:hAnsi="Times New Roman"/>
          <w:b w:val="1"/>
          <w:bCs w:val="1"/>
          <w:color w:val="1f4e5f"/>
          <w:sz w:val="24"/>
          <w:szCs w:val="24"/>
        </w:rPr>
      </w:pPr>
      <w:bookmarkStart w:colFirst="0" w:colLast="0" w:name="_a77gw4ri6w65" w:id="26"/>
      <w:bookmarkEnd w:id="26"/>
      <w:r w:rsidDel="00000000" w:rsidR="00000000" w:rsidRPr="00000000">
        <w:rPr>
          <w:rFonts w:ascii="Times New Roman" w:cs="Times New Roman" w:eastAsia="Times New Roman" w:hAnsi="Times New Roman"/>
          <w:b w:val="1"/>
          <w:bCs w:val="1"/>
          <w:color w:val="1f4e5f"/>
          <w:sz w:val="24"/>
          <w:szCs w:val="24"/>
          <w:rtl w:val="0"/>
        </w:rPr>
        <w:t xml:space="preserve">Section 6 — Solution Options &amp; Design Choice (1.5–2 pages) — the anti-whitepaper section</w:t>
      </w:r>
    </w:p>
    <w:p w:rsidR="00000000" w:rsidDel="00000000" w:rsidP="00000000" w:rsidRDefault="00000000" w:rsidRPr="00000000" w14:paraId="0000013D">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6f9wc27yqwav" w:id="27"/>
      <w:bookmarkEnd w:id="27"/>
      <w:r w:rsidDel="00000000" w:rsidR="00000000" w:rsidRPr="00000000">
        <w:rPr>
          <w:rFonts w:ascii="Times New Roman" w:cs="Times New Roman" w:eastAsia="Times New Roman" w:hAnsi="Times New Roman"/>
          <w:b w:val="1"/>
          <w:bCs w:val="1"/>
          <w:color w:val="2e6e7e"/>
          <w:sz w:val="24"/>
          <w:szCs w:val="24"/>
          <w:rtl w:val="0"/>
        </w:rPr>
        <w:t xml:space="preserve">6.1 Option set — five genuine alternatives</w:t>
      </w:r>
    </w:p>
    <w:p w:rsidR="00000000" w:rsidDel="00000000" w:rsidP="00000000" w:rsidRDefault="00000000" w:rsidRPr="00000000" w14:paraId="0000013E">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 Status quo + </w:t>
      </w:r>
      <w:r w:rsidDel="00000000" w:rsidR="00000000" w:rsidRPr="00000000">
        <w:rPr>
          <w:rFonts w:ascii="Times New Roman" w:cs="Times New Roman" w:eastAsia="Times New Roman" w:hAnsi="Times New Roman"/>
          <w:sz w:val="24"/>
          <w:szCs w:val="24"/>
          <w:rtl w:val="0"/>
        </w:rPr>
        <w:t xml:space="preserve">(hire 1–2 engineers) — the honest baseline competitor; cheap, fast, low-risk, doesn’t scale.</w:t>
      </w:r>
      <w:r w:rsidDel="00000000" w:rsidR="00000000" w:rsidRPr="00000000">
        <w:rPr>
          <w:rtl w:val="0"/>
        </w:rPr>
      </w:r>
    </w:p>
    <w:p w:rsidR="00000000" w:rsidDel="00000000" w:rsidP="00000000" w:rsidRDefault="00000000" w:rsidRPr="00000000" w14:paraId="0000013F">
      <w:pPr>
        <w:spacing w:after="80" w:line="360" w:lineRule="auto"/>
        <w:ind w:left="700" w:hanging="2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the oldest way of quoting pumps, and some distributors still work this way today. The engineer receives the RFQ and reads through the details like drawings, AutoCAD files, schedules, and specifications. It is all done manually to pull out the key details like flow, head, efficiency, material, orientation, and seal type etc. If something is missing, the engineer raises an RFI with the contractor, consultant or the manufacturer. They have to follow up manually with reminders. This can happen at any point in the process, sometimes before the calculations and sometimes during. The engineer then does the head loss calculations by hand. With no selection software, the engineer opens the manufacturer's manuals and pump catalogues, reads the pump curves off the page, and picks the model by hand.</w:t>
      </w:r>
    </w:p>
    <w:p w:rsidR="00000000" w:rsidDel="00000000" w:rsidP="00000000" w:rsidRDefault="00000000" w:rsidRPr="00000000" w14:paraId="0000014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small number of simple inquiries, it works. But everything is manual, so the output depends entirely on how many engineers are available. It is slow, and it does not scale without hiring more people. Adding people is not easy. As shown in Section 2.2, a qualified estimator costs around AED 96,000 a year. It takes two to three months to hire one, and another three to four months before they are fully productive. So even when the business decides to scale, the extra capacity comes slowly and at a real cost. On top of this, the process is prone to errors that can happen at several points, like while reading the files, doing the calculations, and even during matching the curves by hand.</w:t>
      </w:r>
    </w:p>
    <w:p w:rsidR="00000000" w:rsidDel="00000000" w:rsidP="00000000" w:rsidRDefault="00000000" w:rsidRPr="00000000" w14:paraId="00000142">
      <w:pPr>
        <w:spacing w:after="80" w:line="360" w:lineRule="auto"/>
        <w:ind w:left="700" w:hanging="2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 Manufacturer selection tools</w:t>
      </w:r>
      <w:r w:rsidDel="00000000" w:rsidR="00000000" w:rsidRPr="00000000">
        <w:rPr>
          <w:rFonts w:ascii="Times New Roman" w:cs="Times New Roman" w:eastAsia="Times New Roman" w:hAnsi="Times New Roman"/>
          <w:sz w:val="24"/>
          <w:szCs w:val="24"/>
          <w:rtl w:val="0"/>
        </w:rPr>
        <w:t xml:space="preserve"> (Grundfos, Wilo, KSB, Xylem publish selectors/APIs) — free pump-curve logic; single-vendor bias, no intake automation.</w:t>
      </w:r>
      <w:r w:rsidDel="00000000" w:rsidR="00000000" w:rsidRPr="00000000">
        <w:rPr>
          <w:rtl w:val="0"/>
        </w:rPr>
      </w:r>
    </w:p>
    <w:p w:rsidR="00000000" w:rsidDel="00000000" w:rsidP="00000000" w:rsidRDefault="00000000" w:rsidRPr="00000000" w14:paraId="00000144">
      <w:pPr>
        <w:spacing w:after="80" w:line="360" w:lineRule="auto"/>
        <w:ind w:left="700" w:hanging="2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Option B — Manual Calculation with Manufacturer Selection Software</w:t>
      </w:r>
    </w:p>
    <w:p w:rsidR="00000000" w:rsidDel="00000000" w:rsidP="00000000" w:rsidRDefault="00000000" w:rsidRPr="00000000" w14:paraId="0000014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option </w:t>
      </w:r>
      <w:r w:rsidDel="00000000" w:rsidR="00000000" w:rsidRPr="00000000">
        <w:rPr>
          <w:rFonts w:ascii="Times New Roman" w:cs="Times New Roman" w:eastAsia="Times New Roman" w:hAnsi="Times New Roman"/>
          <w:sz w:val="24"/>
          <w:szCs w:val="24"/>
          <w:rtl w:val="0"/>
        </w:rPr>
        <w:t xml:space="preserve">works the same way as Option A up to the selection step. The engineer still receives the RFQ, reads through the drawings, AutoCAD files, schedules, and specifications manually. It is all done manually to pull out details like flow, head, efficiency, material, orientation, and seal type etc. RFIs are still raised by hand when information is missing, with manual follow ups. The head loss calculations are still done by hand.</w:t>
      </w:r>
    </w:p>
    <w:p w:rsidR="00000000" w:rsidDel="00000000" w:rsidP="00000000" w:rsidRDefault="00000000" w:rsidRPr="00000000" w14:paraId="0000014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difference comes at the selection step. Instead of opening the manufacturer's manuals and reading the pump curves off the page, the engineer enters the calculated values into the manufacturer's selection software. Companies like Grundfos, Wilo, KSB, and Xylem all publish these tools. The software takes the inputs and returns a range of suitable pump models. The engineer then picks from that range.</w:t>
      </w:r>
    </w:p>
    <w:p w:rsidR="00000000" w:rsidDel="00000000" w:rsidP="00000000" w:rsidRDefault="00000000" w:rsidRPr="00000000" w14:paraId="0000014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how most distributors work today. The selection software removes around 20 to 30 percent of the manual effort, mainly the curve reading and model matching that used to be done by hand. It also makes the selection more reliable at that step. But the rest of the process is still manual. The intake, the reading, the calculations, and the RFIs are all still done by people. So the same capacity limits and the same chances of error remain across most of the process.</w:t>
      </w:r>
    </w:p>
    <w:p w:rsidR="00000000" w:rsidDel="00000000" w:rsidP="00000000" w:rsidRDefault="00000000" w:rsidRPr="00000000" w14:paraId="00000149">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 Off-the-shelf CPQ</w:t>
      </w:r>
      <w:r w:rsidDel="00000000" w:rsidR="00000000" w:rsidRPr="00000000">
        <w:rPr>
          <w:rFonts w:ascii="Times New Roman" w:cs="Times New Roman" w:eastAsia="Times New Roman" w:hAnsi="Times New Roman"/>
          <w:sz w:val="24"/>
          <w:szCs w:val="24"/>
          <w:rtl w:val="0"/>
        </w:rPr>
        <w:t xml:space="preserve"> — strong on pricing and quote assembly; weak on unstructured intake and hydraulic engineering.</w:t>
      </w:r>
    </w:p>
    <w:p w:rsidR="00000000" w:rsidDel="00000000" w:rsidP="00000000" w:rsidRDefault="00000000" w:rsidRPr="00000000" w14:paraId="0000014A">
      <w:pPr>
        <w:spacing w:after="80" w:line="360" w:lineRule="auto"/>
        <w:ind w:left="700" w:hanging="2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CPQ stands for Configure, Price, Quote. It is a category of sales software made to automate the commercial side of quoting. It assembles the line items, applies the pricing rules and discounts, handles approvals, and generates a clean quote document. It is good at the pricing and quote assembly end of the process.</w:t>
      </w:r>
    </w:p>
    <w:p w:rsidR="00000000" w:rsidDel="00000000" w:rsidP="00000000" w:rsidRDefault="00000000" w:rsidRPr="00000000" w14:paraId="0000014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is that it solves the wrong end for us. CPQ is built for businesses with a smaller product basket, where the sales team already knows what to offer and just needs to put the quotation together. It cannot read an RFQ. It cannot read a specification or an AutoCAD file. It has no way to work out which pumps are required. All of that, the intake, the calculations, and the pump selection, still has to be done manually before CPQ can do anything at all.</w:t>
      </w:r>
    </w:p>
    <w:p w:rsidR="00000000" w:rsidDel="00000000" w:rsidP="00000000" w:rsidRDefault="00000000" w:rsidRPr="00000000" w14:paraId="0000014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an off-the-shelf CPQ tool only solves around 10 to 15 percent of the problem we are trying to solve. It automates the sending of the quotation, but everything before that stays manual. These tools are also expensive to buy off the shelf, which makes little sense when they leave the hardest part of the work untouched. For this reason it is not a real competitor to what we are proposing. The pricing engine idea behind CPQ is useful, and we do carry it into our proposed hybrid model</w:t>
      </w:r>
    </w:p>
    <w:p w:rsidR="00000000" w:rsidDel="00000000" w:rsidP="00000000" w:rsidRDefault="00000000" w:rsidRPr="00000000" w14:paraId="0000014E">
      <w:pPr>
        <w:spacing w:after="80" w:line="360" w:lineRule="auto"/>
        <w:ind w:left="700" w:hanging="2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 Full custom AI platform</w:t>
      </w:r>
      <w:r w:rsidDel="00000000" w:rsidR="00000000" w:rsidRPr="00000000">
        <w:rPr>
          <w:rFonts w:ascii="Times New Roman" w:cs="Times New Roman" w:eastAsia="Times New Roman" w:hAnsi="Times New Roman"/>
          <w:sz w:val="24"/>
          <w:szCs w:val="24"/>
          <w:rtl w:val="0"/>
        </w:rPr>
        <w:t xml:space="preserve"> — maximal capability, maximal cost and risk.</w:t>
      </w:r>
    </w:p>
    <w:p w:rsidR="00000000" w:rsidDel="00000000" w:rsidP="00000000" w:rsidRDefault="00000000" w:rsidRPr="00000000" w14:paraId="00000150">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 Hybrid (proposed)</w:t>
      </w:r>
      <w:r w:rsidDel="00000000" w:rsidR="00000000" w:rsidRPr="00000000">
        <w:rPr>
          <w:rFonts w:ascii="Times New Roman" w:cs="Times New Roman" w:eastAsia="Times New Roman" w:hAnsi="Times New Roman"/>
          <w:sz w:val="24"/>
          <w:szCs w:val="24"/>
          <w:rtl w:val="0"/>
        </w:rPr>
        <w:t xml:space="preserve">: LLM extraction + deterministic calculation engine + manufacturer selection APIs + rules-based pricing + confidence-routed human review.</w:t>
      </w:r>
      <w:r w:rsidDel="00000000" w:rsidR="00000000" w:rsidRPr="00000000">
        <w:rPr>
          <w:rtl w:val="0"/>
        </w:rPr>
      </w:r>
    </w:p>
    <w:p w:rsidR="00000000" w:rsidDel="00000000" w:rsidP="00000000" w:rsidRDefault="00000000" w:rsidRPr="00000000" w14:paraId="00000151">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k5d8g2xy0ot8" w:id="28"/>
      <w:bookmarkEnd w:id="28"/>
      <w:r w:rsidDel="00000000" w:rsidR="00000000" w:rsidRPr="00000000">
        <w:rPr>
          <w:rFonts w:ascii="Times New Roman" w:cs="Times New Roman" w:eastAsia="Times New Roman" w:hAnsi="Times New Roman"/>
          <w:b w:val="1"/>
          <w:bCs w:val="1"/>
          <w:color w:val="2e6e7e"/>
          <w:sz w:val="24"/>
          <w:szCs w:val="24"/>
          <w:rtl w:val="0"/>
        </w:rPr>
        <w:t xml:space="preserve">6.2 Decision matrix</w:t>
      </w:r>
    </w:p>
    <w:p w:rsidR="00000000" w:rsidDel="00000000" w:rsidP="00000000" w:rsidRDefault="00000000" w:rsidRPr="00000000" w14:paraId="00000152">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Criteria: cycle-time impact, margin impact, error-rate impact, cost, implementation risk, strategic optionality (data asset). Score honestly — </w:t>
      </w:r>
      <w:r w:rsidDel="00000000" w:rsidR="00000000" w:rsidRPr="00000000">
        <w:rPr>
          <w:rFonts w:ascii="Times New Roman" w:cs="Times New Roman" w:eastAsia="Times New Roman" w:hAnsi="Times New Roman"/>
          <w:b w:val="1"/>
          <w:bCs w:val="1"/>
          <w:sz w:val="24"/>
          <w:szCs w:val="24"/>
          <w:rtl w:val="0"/>
        </w:rPr>
        <w:t xml:space="preserve">Option A must win on cost and risk.</w:t>
      </w:r>
      <w:r w:rsidDel="00000000" w:rsidR="00000000" w:rsidRPr="00000000">
        <w:rPr>
          <w:rFonts w:ascii="Times New Roman" w:cs="Times New Roman" w:eastAsia="Times New Roman" w:hAnsi="Times New Roman"/>
          <w:sz w:val="24"/>
          <w:szCs w:val="24"/>
          <w:rtl w:val="0"/>
        </w:rPr>
        <w:t xml:space="preserve"> E’s case rests on scalability and the data asset, with B/C as components of E rather than competitors.</w:t>
      </w:r>
      <w:r w:rsidDel="00000000" w:rsidR="00000000" w:rsidRPr="00000000">
        <w:rPr>
          <w:rtl w:val="0"/>
        </w:rPr>
      </w:r>
    </w:p>
    <w:p w:rsidR="00000000" w:rsidDel="00000000" w:rsidP="00000000" w:rsidRDefault="00000000" w:rsidRPr="00000000" w14:paraId="00000153">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g5f48iof5tla" w:id="29"/>
      <w:bookmarkEnd w:id="29"/>
      <w:r w:rsidDel="00000000" w:rsidR="00000000" w:rsidRPr="00000000">
        <w:rPr>
          <w:rFonts w:ascii="Times New Roman" w:cs="Times New Roman" w:eastAsia="Times New Roman" w:hAnsi="Times New Roman"/>
          <w:b w:val="1"/>
          <w:bCs w:val="1"/>
          <w:color w:val="2e6e7e"/>
          <w:sz w:val="24"/>
          <w:szCs w:val="24"/>
          <w:rtl w:val="0"/>
        </w:rPr>
        <w:t xml:space="preserve">6.3 The concession paragraph</w:t>
      </w:r>
    </w:p>
    <w:p w:rsidR="00000000" w:rsidDel="00000000" w:rsidP="00000000" w:rsidRDefault="00000000" w:rsidRPr="00000000" w14:paraId="00000154">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plainly what the rejected options do better and under what conditions you would recommend Option A instead (“if RFQ volume were below X per month, hiring dominates”). In an ex-ante paper this paragraph matters even more: it proves the conclusion was not predetermined.</w:t>
      </w:r>
      <w:r w:rsidDel="00000000" w:rsidR="00000000" w:rsidRPr="00000000">
        <w:rPr>
          <w:rtl w:val="0"/>
        </w:rPr>
      </w:r>
    </w:p>
    <w:p w:rsidR="00000000" w:rsidDel="00000000" w:rsidP="00000000" w:rsidRDefault="00000000" w:rsidRPr="00000000" w14:paraId="00000155">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7 — Proposed To-Be Process &amp; Solution Architecture</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12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Evidence status: </w:t>
      </w:r>
      <w:r w:rsidDel="00000000" w:rsidR="00000000" w:rsidRPr="00000000">
        <w:rPr>
          <w:rFonts w:ascii="Times New Roman" w:cs="Times New Roman" w:eastAsia="Times New Roman" w:hAnsi="Times New Roman"/>
          <w:sz w:val="24"/>
          <w:szCs w:val="24"/>
          <w:rtl w:val="0"/>
        </w:rPr>
        <w:t xml:space="preserve">everything in this section is a proposal; nothing has been built. To-be times and behaviours are projections, each carrying the ID of the Appendix A assumption that supplies its value, established by the audit and simulation of Section 8. Figures carried over from Section 4 remain measured. Exhibits 7.1–7.3 are placed in Appendix B and referenced from the text; the RFQ schema table is in Appendix G.</w:t>
      </w:r>
    </w:p>
    <w:p w:rsidR="00000000" w:rsidDel="00000000" w:rsidP="00000000" w:rsidRDefault="00000000" w:rsidRPr="00000000" w14:paraId="00000158">
      <w:pPr>
        <w:pStyle w:val="Heading1"/>
        <w:keepNext w:val="0"/>
        <w:keepLines w:val="0"/>
        <w:spacing w:after="100" w:before="240" w:line="360" w:lineRule="auto"/>
        <w:rPr>
          <w:rFonts w:ascii="Times New Roman" w:cs="Times New Roman" w:eastAsia="Times New Roman" w:hAnsi="Times New Roman"/>
          <w:b w:val="1"/>
          <w:bCs w:val="1"/>
          <w:sz w:val="46"/>
          <w:szCs w:val="46"/>
        </w:rPr>
      </w:pPr>
      <w:bookmarkStart w:colFirst="0" w:colLast="0" w:name="_q3te71wmtr0h" w:id="30"/>
      <w:bookmarkEnd w:id="30"/>
      <w:r w:rsidDel="00000000" w:rsidR="00000000" w:rsidRPr="00000000">
        <w:rPr>
          <w:rFonts w:ascii="Times New Roman" w:cs="Times New Roman" w:eastAsia="Times New Roman" w:hAnsi="Times New Roman"/>
          <w:b w:val="1"/>
          <w:bCs w:val="1"/>
          <w:sz w:val="46"/>
          <w:szCs w:val="46"/>
          <w:rtl w:val="0"/>
        </w:rPr>
        <w:t xml:space="preserve">7.1 Design principles, stated as constraints</w:t>
      </w:r>
    </w:p>
    <w:p w:rsidR="00000000" w:rsidDel="00000000" w:rsidP="00000000" w:rsidRDefault="00000000" w:rsidRPr="00000000" w14:paraId="00000159">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constraints govern the design, written as obligations rather than aspirations. First, automate extraction and calculation; augment judgement — the system takes over the reading, transcription and arithmetic where Section 4.4 located 41% of defects, and presents judgement calls to a person. Second, no quote leaves below defined confidence without human review; in Phase 1 the gate is absolute. Third, every automated decision is auditable — each extracted field, calculation input, ranked option and price logged with source, confidence and timestamp, feeding the liability analysis of 11.3. Fourth, graceful degradation: on any failure, the inquiry drops into the Section 4 manual process with partial work attached. Fifth, every human correction is captured as labelled training data — the constraint that turns review burden into the flywheel of 7.7.</w:t>
      </w:r>
    </w:p>
    <w:p w:rsidR="00000000" w:rsidDel="00000000" w:rsidP="00000000" w:rsidRDefault="00000000" w:rsidRPr="00000000" w14:paraId="0000015A">
      <w:pPr>
        <w:pStyle w:val="Heading1"/>
        <w:keepNext w:val="0"/>
        <w:keepLines w:val="0"/>
        <w:spacing w:after="100" w:before="240" w:line="360" w:lineRule="auto"/>
        <w:rPr>
          <w:rFonts w:ascii="Times New Roman" w:cs="Times New Roman" w:eastAsia="Times New Roman" w:hAnsi="Times New Roman"/>
          <w:b w:val="1"/>
          <w:bCs w:val="1"/>
          <w:sz w:val="46"/>
          <w:szCs w:val="46"/>
        </w:rPr>
      </w:pPr>
      <w:bookmarkStart w:colFirst="0" w:colLast="0" w:name="_2q2uhykkage8" w:id="31"/>
      <w:bookmarkEnd w:id="31"/>
      <w:r w:rsidDel="00000000" w:rsidR="00000000" w:rsidRPr="00000000">
        <w:rPr>
          <w:rFonts w:ascii="Times New Roman" w:cs="Times New Roman" w:eastAsia="Times New Roman" w:hAnsi="Times New Roman"/>
          <w:b w:val="1"/>
          <w:bCs w:val="1"/>
          <w:sz w:val="46"/>
          <w:szCs w:val="46"/>
          <w:rtl w:val="0"/>
        </w:rPr>
        <w:t xml:space="preserve">7.2 The to-be process: a projected swimlane</w:t>
      </w:r>
    </w:p>
    <w:p w:rsidR="00000000" w:rsidDel="00000000" w:rsidP="00000000" w:rsidRDefault="00000000" w:rsidRPr="00000000" w14:paraId="0000015B">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 7.1 (Appendix B) mirrors the as-is map of Exhibit 4.1 lane for lane, with one addition: a System lane into which six of the nine steps migrate, running in minutes. The visual comparison is the argument. The queues have not been compressed; they have been removed, because a runtime has no inbox. What remains of elapsed time is one internal queue — the engineer's next free review slot, projected at a 2.5-hour median [A6] — and one external wait, the contractor's reply, carried over unchanged from measurement. Touch collapses accordingly: a projected Tier 2 inquiry would need roughly 25 minutes of human attention against the measured 5.5 hours, the difference redeployed rather than removed (priced in 9.2, managed in 11.2).</w:t>
      </w:r>
    </w:p>
    <w:p w:rsidR="00000000" w:rsidDel="00000000" w:rsidP="00000000" w:rsidRDefault="00000000" w:rsidRPr="00000000" w14:paraId="0000015C">
      <w:pPr>
        <w:pStyle w:val="Heading1"/>
        <w:keepNext w:val="0"/>
        <w:keepLines w:val="0"/>
        <w:spacing w:after="100" w:before="240" w:line="360" w:lineRule="auto"/>
        <w:rPr>
          <w:rFonts w:ascii="Times New Roman" w:cs="Times New Roman" w:eastAsia="Times New Roman" w:hAnsi="Times New Roman"/>
          <w:b w:val="1"/>
          <w:bCs w:val="1"/>
          <w:sz w:val="46"/>
          <w:szCs w:val="46"/>
        </w:rPr>
      </w:pPr>
      <w:bookmarkStart w:colFirst="0" w:colLast="0" w:name="_bfp4bxmwibx2" w:id="32"/>
      <w:bookmarkEnd w:id="32"/>
      <w:r w:rsidDel="00000000" w:rsidR="00000000" w:rsidRPr="00000000">
        <w:rPr>
          <w:rFonts w:ascii="Times New Roman" w:cs="Times New Roman" w:eastAsia="Times New Roman" w:hAnsi="Times New Roman"/>
          <w:b w:val="1"/>
          <w:bCs w:val="1"/>
          <w:sz w:val="46"/>
          <w:szCs w:val="46"/>
          <w:rtl w:val="0"/>
        </w:rPr>
        <w:t xml:space="preserve">7.3 Intake and classification layer</w:t>
      </w:r>
    </w:p>
    <w:p w:rsidR="00000000" w:rsidDel="00000000" w:rsidP="00000000" w:rsidRDefault="00000000" w:rsidRPr="00000000" w14:paraId="0000015D">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minutes of arrival the intake layer would detect the channel and gather the parts; classify the inquiry into the 4.2 taxonomy by pump count, data completeness and value [A1]; and validate completeness against the schema of 7.4, producing a definitive list of gaps while the inquiry is minutes old. Where fields are missing it drafts one consolidated clarification covering every gap at once [A3] — aimed squarely at the largest delay in Section 4, where gaps are found serially and each costs a median 41-hour round trip. The request fires within a minute of receipt instead of after 22 hours of triage and reading, and when the reply arrives the layer recognises the thread, merges it, and resumes — closing the gap that left Innovo's answer sitting unread in a mailbox.</w:t>
      </w:r>
    </w:p>
    <w:p w:rsidR="00000000" w:rsidDel="00000000" w:rsidP="00000000" w:rsidRDefault="00000000" w:rsidRPr="00000000" w14:paraId="0000015E">
      <w:pPr>
        <w:pStyle w:val="Heading1"/>
        <w:keepNext w:val="0"/>
        <w:keepLines w:val="0"/>
        <w:spacing w:after="100" w:before="240" w:line="360" w:lineRule="auto"/>
        <w:rPr>
          <w:rFonts w:ascii="Times New Roman" w:cs="Times New Roman" w:eastAsia="Times New Roman" w:hAnsi="Times New Roman"/>
          <w:b w:val="1"/>
          <w:bCs w:val="1"/>
          <w:sz w:val="46"/>
          <w:szCs w:val="46"/>
        </w:rPr>
      </w:pPr>
      <w:bookmarkStart w:colFirst="0" w:colLast="0" w:name="_auhih7i2sqqh" w:id="33"/>
      <w:bookmarkEnd w:id="33"/>
      <w:r w:rsidDel="00000000" w:rsidR="00000000" w:rsidRPr="00000000">
        <w:rPr>
          <w:rFonts w:ascii="Times New Roman" w:cs="Times New Roman" w:eastAsia="Times New Roman" w:hAnsi="Times New Roman"/>
          <w:b w:val="1"/>
          <w:bCs w:val="1"/>
          <w:sz w:val="46"/>
          <w:szCs w:val="46"/>
          <w:rtl w:val="0"/>
        </w:rPr>
        <w:t xml:space="preserve">7.4 Extraction layer</w:t>
      </w:r>
    </w:p>
    <w:p w:rsidR="00000000" w:rsidDel="00000000" w:rsidP="00000000" w:rsidRDefault="00000000" w:rsidRPr="00000000" w14:paraId="0000015F">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Extraction converts unstructured documents into one canonical record — a twelve-field-per-system RFQ schema covering identity, system type, flow, static head, pipe run, diameter and material, fittings, fluid, power supply and delivery date (Appendix G) — using language and vision models to read specification extracts, schedules and email text. Each field carries a confidence score, and it is these scores, not the values, that drive the routing of 7.7. One boundary is stated now: native CAD parsing is out of scope for Phase 1. Where required fields exist only in a DWG file, the inquiry routes to an engineer — into a pre-structured workspace with every extractable field filled and the CAD-dependent fields flagged, so degradation is to assisted work, not manual. The 8.1 audit measures how often this occurs.</w:t>
      </w:r>
    </w:p>
    <w:p w:rsidR="00000000" w:rsidDel="00000000" w:rsidP="00000000" w:rsidRDefault="00000000" w:rsidRPr="00000000" w14:paraId="00000160">
      <w:pPr>
        <w:pStyle w:val="Heading1"/>
        <w:keepNext w:val="0"/>
        <w:keepLines w:val="0"/>
        <w:spacing w:after="100" w:before="240" w:line="360" w:lineRule="auto"/>
        <w:rPr>
          <w:rFonts w:ascii="Times New Roman" w:cs="Times New Roman" w:eastAsia="Times New Roman" w:hAnsi="Times New Roman"/>
          <w:b w:val="1"/>
          <w:bCs w:val="1"/>
          <w:sz w:val="46"/>
          <w:szCs w:val="46"/>
        </w:rPr>
      </w:pPr>
      <w:bookmarkStart w:colFirst="0" w:colLast="0" w:name="_1dhd0v5db1w8" w:id="34"/>
      <w:bookmarkEnd w:id="34"/>
      <w:r w:rsidDel="00000000" w:rsidR="00000000" w:rsidRPr="00000000">
        <w:rPr>
          <w:rFonts w:ascii="Times New Roman" w:cs="Times New Roman" w:eastAsia="Times New Roman" w:hAnsi="Times New Roman"/>
          <w:b w:val="1"/>
          <w:bCs w:val="1"/>
          <w:sz w:val="46"/>
          <w:szCs w:val="46"/>
          <w:rtl w:val="0"/>
        </w:rPr>
        <w:t xml:space="preserve">7.5 The product data layer: classification, storage and retrieval</w:t>
      </w:r>
    </w:p>
    <w:p w:rsidR="00000000" w:rsidDel="00000000" w:rsidP="00000000" w:rsidRDefault="00000000" w:rsidRPr="00000000" w14:paraId="00000161">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of the above works if the system's knowledge of pumps lives inside a language model. Models recall approximately; catalogues change monthly; and a quotation defensible under the audit constraint must rest on data that is exact, versioned and sourced. The design therefore separates reasoning from memory: models read documents and orchestrate, while a governed product database remembers.</w:t>
      </w:r>
    </w:p>
    <w:p w:rsidR="00000000" w:rsidDel="00000000" w:rsidP="00000000" w:rsidRDefault="00000000" w:rsidRPr="00000000" w14:paraId="00000162">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Classification. </w:t>
      </w:r>
      <w:r w:rsidDel="00000000" w:rsidR="00000000" w:rsidRPr="00000000">
        <w:rPr>
          <w:rFonts w:ascii="Times New Roman" w:cs="Times New Roman" w:eastAsia="Times New Roman" w:hAnsi="Times New Roman"/>
          <w:sz w:val="24"/>
          <w:szCs w:val="24"/>
          <w:rtl w:val="0"/>
        </w:rPr>
        <w:t xml:space="preserve">Manufacturer data is normalized at ingestion into a four-level hierarchy — family, range, model, configuration — with each configuration carrying typed attributes in four groups: hydraulic (performance stored as Q–H, efficiency, power and NPSH point arrays or curve coefficients, never as prose), mechanical (materials, seal type, orientation, connections), electrical (voltage, phase, IE class), and commercial (list price, lead time, supersession chain). Attribute naming follows the ETIM classification standard for technical product data where the manufacturer supplies it, with a mapping table for house conventions — so that a model designation means exactly one thing to every layer of the system, and remains comparable if further manufacturers are added later.</w:t>
      </w:r>
    </w:p>
    <w:p w:rsidR="00000000" w:rsidDel="00000000" w:rsidP="00000000" w:rsidRDefault="00000000" w:rsidRPr="00000000" w14:paraId="00000163">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Storage. </w:t>
      </w:r>
      <w:r w:rsidDel="00000000" w:rsidR="00000000" w:rsidRPr="00000000">
        <w:rPr>
          <w:rFonts w:ascii="Times New Roman" w:cs="Times New Roman" w:eastAsia="Times New Roman" w:hAnsi="Times New Roman"/>
          <w:sz w:val="24"/>
          <w:szCs w:val="24"/>
          <w:rtl w:val="0"/>
        </w:rPr>
        <w:t xml:space="preserve">Two stores, chosen by data type. Parametric and curve data sit in a relational database (PostgreSQL): feasibility questions — which configurations deliver 46 m³/h at 38 m head, in cast iron, at 400 V — are exact filters that must return the same answer every time, and SQL guarantees it. Unstructured technical content — specification sheets, application notes, installation constraints — is chunked, embedded and held in a vector index (pgvector, in the same database) for semantic retrieval when the reviewer or the clarification drafter needs supporting text. Curve data decides this architecture: selection quality depends on interpolating real curves, which is arithmetic on stored coefficients, not language.</w:t>
      </w:r>
    </w:p>
    <w:p w:rsidR="00000000" w:rsidDel="00000000" w:rsidP="00000000" w:rsidRDefault="00000000" w:rsidRPr="00000000" w14:paraId="00000164">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Retrieval. </w:t>
      </w:r>
      <w:r w:rsidDel="00000000" w:rsidR="00000000" w:rsidRPr="00000000">
        <w:rPr>
          <w:rFonts w:ascii="Times New Roman" w:cs="Times New Roman" w:eastAsia="Times New Roman" w:hAnsi="Times New Roman"/>
          <w:sz w:val="24"/>
          <w:szCs w:val="24"/>
          <w:rtl w:val="0"/>
        </w:rPr>
        <w:t xml:space="preserve">The model never answers a product question from its own weights. It is granted tools — a structured query against the relational store, semantic search over the vector index, and the manufacturer's live selection API of 7.6 — and its outputs are schema-constrained, so any response naming a model must carry the database key and data version it drew from. Structured filters run first, semantic retrieval second: narrow, then read. Every record carries source and effective date, and each quote references the price-list and curve versions it used — which is what makes the constraint-three audit trail reconstructible months later, and keeps the system correct the week after a price revision. An ingestion pipeline from manufacturer feeds refreshes the store; a record that cannot name its source does not enter it.</w:t>
      </w:r>
    </w:p>
    <w:p w:rsidR="00000000" w:rsidDel="00000000" w:rsidP="00000000" w:rsidRDefault="00000000" w:rsidRPr="00000000" w14:paraId="00000165">
      <w:pPr>
        <w:pStyle w:val="Heading1"/>
        <w:keepNext w:val="0"/>
        <w:keepLines w:val="0"/>
        <w:spacing w:after="100" w:before="240" w:line="360" w:lineRule="auto"/>
        <w:rPr>
          <w:rFonts w:ascii="Times New Roman" w:cs="Times New Roman" w:eastAsia="Times New Roman" w:hAnsi="Times New Roman"/>
          <w:b w:val="1"/>
          <w:bCs w:val="1"/>
          <w:sz w:val="46"/>
          <w:szCs w:val="46"/>
        </w:rPr>
      </w:pPr>
      <w:bookmarkStart w:colFirst="0" w:colLast="0" w:name="_zgxxfswki5za" w:id="35"/>
      <w:bookmarkEnd w:id="35"/>
      <w:r w:rsidDel="00000000" w:rsidR="00000000" w:rsidRPr="00000000">
        <w:rPr>
          <w:rFonts w:ascii="Times New Roman" w:cs="Times New Roman" w:eastAsia="Times New Roman" w:hAnsi="Times New Roman"/>
          <w:b w:val="1"/>
          <w:bCs w:val="1"/>
          <w:sz w:val="46"/>
          <w:szCs w:val="46"/>
          <w:rtl w:val="0"/>
        </w:rPr>
        <w:t xml:space="preserve">7.6 Calculation and decision layer: three separated engines</w:t>
      </w:r>
    </w:p>
    <w:p w:rsidR="00000000" w:rsidDel="00000000" w:rsidP="00000000" w:rsidRDefault="00000000" w:rsidRPr="00000000" w14:paraId="00000166">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 a validated schema and a draft quote sit three engines, kept separate because they carry different uncertainty. The </w:t>
      </w:r>
      <w:r w:rsidDel="00000000" w:rsidR="00000000" w:rsidRPr="00000000">
        <w:rPr>
          <w:rFonts w:ascii="Times New Roman" w:cs="Times New Roman" w:eastAsia="Times New Roman" w:hAnsi="Times New Roman"/>
          <w:b w:val="1"/>
          <w:bCs w:val="1"/>
          <w:sz w:val="24"/>
          <w:szCs w:val="24"/>
          <w:rtl w:val="0"/>
        </w:rPr>
        <w:t xml:space="preserve">hydraulic engine is deterministic physics, not AI</w:t>
      </w:r>
      <w:r w:rsidDel="00000000" w:rsidR="00000000" w:rsidRPr="00000000">
        <w:rPr>
          <w:rFonts w:ascii="Times New Roman" w:cs="Times New Roman" w:eastAsia="Times New Roman" w:hAnsi="Times New Roman"/>
          <w:sz w:val="24"/>
          <w:szCs w:val="24"/>
          <w:rtl w:val="0"/>
        </w:rPr>
        <w:t xml:space="preserve">: total head is static head plus friction and fitting losses, computed by Darcy-Weisbach with Hazen-Williams as cross-check — the same formulas the estimators apply by hand, encoded once. Because this layer is settled engineering, its feasibility is not in question; the design's uncertainty lives entirely upstream in extraction, which is precisely what the Section 8 audit measures. The </w:t>
      </w:r>
      <w:r w:rsidDel="00000000" w:rsidR="00000000" w:rsidRPr="00000000">
        <w:rPr>
          <w:rFonts w:ascii="Times New Roman" w:cs="Times New Roman" w:eastAsia="Times New Roman" w:hAnsi="Times New Roman"/>
          <w:b w:val="1"/>
          <w:bCs w:val="1"/>
          <w:sz w:val="24"/>
          <w:szCs w:val="24"/>
          <w:rtl w:val="0"/>
        </w:rPr>
        <w:t xml:space="preserve">selection engine is a constrained search</w:t>
      </w:r>
      <w:r w:rsidDel="00000000" w:rsidR="00000000" w:rsidRPr="00000000">
        <w:rPr>
          <w:rFonts w:ascii="Times New Roman" w:cs="Times New Roman" w:eastAsia="Times New Roman" w:hAnsi="Times New Roman"/>
          <w:sz w:val="24"/>
          <w:szCs w:val="24"/>
          <w:rtl w:val="0"/>
        </w:rPr>
        <w:t xml:space="preserve">: given a duty point, it filters the 7.5 store, queries the manufacturer's selection API, and returns candidates ranked on efficiency, price and lead time, flagging duty points near a curve edge rather than accepting them silently [A5]; where several answers are defensible, the distributor's own history of chosen and winning selections breaks the tie — the data asset of Section 10, used here as a sort order. The </w:t>
      </w:r>
      <w:r w:rsidDel="00000000" w:rsidR="00000000" w:rsidRPr="00000000">
        <w:rPr>
          <w:rFonts w:ascii="Times New Roman" w:cs="Times New Roman" w:eastAsia="Times New Roman" w:hAnsi="Times New Roman"/>
          <w:b w:val="1"/>
          <w:bCs w:val="1"/>
          <w:sz w:val="24"/>
          <w:szCs w:val="24"/>
          <w:rtl w:val="0"/>
        </w:rPr>
        <w:t xml:space="preserve">pricing engine is rules, not learning</w:t>
      </w:r>
      <w:r w:rsidDel="00000000" w:rsidR="00000000" w:rsidRPr="00000000">
        <w:rPr>
          <w:rFonts w:ascii="Times New Roman" w:cs="Times New Roman" w:eastAsia="Times New Roman" w:hAnsi="Times New Roman"/>
          <w:sz w:val="24"/>
          <w:szCs w:val="24"/>
          <w:rtl w:val="0"/>
        </w:rPr>
        <w:t xml:space="preserve">: cost-plus by family, adjusted for customer tier and volume, with a defined discount band and a reference price beside every discount decision — aimed at the 4–18% spread and the 1.9%-of-revenue leak quantified in 4.4. Machine-learned price optimisation is deferred to Phase 3.</w:t>
      </w:r>
    </w:p>
    <w:p w:rsidR="00000000" w:rsidDel="00000000" w:rsidP="00000000" w:rsidRDefault="00000000" w:rsidRPr="00000000" w14:paraId="00000167">
      <w:pPr>
        <w:pStyle w:val="Heading1"/>
        <w:keepNext w:val="0"/>
        <w:keepLines w:val="0"/>
        <w:spacing w:after="100" w:before="240" w:line="360" w:lineRule="auto"/>
        <w:rPr>
          <w:rFonts w:ascii="Times New Roman" w:cs="Times New Roman" w:eastAsia="Times New Roman" w:hAnsi="Times New Roman"/>
          <w:b w:val="1"/>
          <w:bCs w:val="1"/>
          <w:sz w:val="46"/>
          <w:szCs w:val="46"/>
        </w:rPr>
      </w:pPr>
      <w:bookmarkStart w:colFirst="0" w:colLast="0" w:name="_ezxo59cxscfn" w:id="36"/>
      <w:bookmarkEnd w:id="36"/>
      <w:r w:rsidDel="00000000" w:rsidR="00000000" w:rsidRPr="00000000">
        <w:rPr>
          <w:rFonts w:ascii="Times New Roman" w:cs="Times New Roman" w:eastAsia="Times New Roman" w:hAnsi="Times New Roman"/>
          <w:b w:val="1"/>
          <w:bCs w:val="1"/>
          <w:sz w:val="46"/>
          <w:szCs w:val="46"/>
          <w:rtl w:val="0"/>
        </w:rPr>
        <w:t xml:space="preserve">7.7 Human-in-the-loop design</w:t>
      </w:r>
    </w:p>
    <w:p w:rsidR="00000000" w:rsidDel="00000000" w:rsidP="00000000" w:rsidRDefault="00000000" w:rsidRPr="00000000" w14:paraId="00000168">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preceding layers describe what the machine would do; this one decides what it is allowed to do. The routing is stated as logic:</w:t>
      </w:r>
    </w:p>
    <w:p w:rsidR="00000000" w:rsidDel="00000000" w:rsidP="00000000" w:rsidRDefault="00000000" w:rsidRPr="00000000" w14:paraId="00000169">
      <w:pPr>
        <w:shd w:fill="f5f7f8" w:val="clear"/>
        <w:spacing w:after="40" w:line="259.20000000000005" w:lineRule="auto"/>
        <w:ind w:left="500" w:firstLine="0"/>
        <w:rPr>
          <w:rFonts w:ascii="Courier New" w:cs="Courier New" w:eastAsia="Courier New" w:hAnsi="Courier New"/>
          <w:sz w:val="20"/>
          <w:szCs w:val="20"/>
        </w:rPr>
      </w:pPr>
      <w:r w:rsidDel="00000000" w:rsidR="00000000" w:rsidRPr="00000000">
        <w:rPr>
          <w:rFonts w:ascii="Gungsuh" w:cs="Gungsuh" w:eastAsia="Gungsuh" w:hAnsi="Gungsuh"/>
          <w:sz w:val="20"/>
          <w:szCs w:val="20"/>
          <w:rtl w:val="0"/>
        </w:rPr>
        <w:t xml:space="preserve">IF   min. field confidence ≥ C₁ AND tier = 1 AND value &lt; AED V₁ AND discount in band</w:t>
      </w:r>
    </w:p>
    <w:p w:rsidR="00000000" w:rsidDel="00000000" w:rsidP="00000000" w:rsidRDefault="00000000" w:rsidRPr="00000000" w14:paraId="0000016A">
      <w:pPr>
        <w:shd w:fill="f5f7f8" w:val="clear"/>
        <w:spacing w:after="40" w:line="259.20000000000005" w:lineRule="auto"/>
        <w:ind w:left="500" w:firstLine="0"/>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THEN auto-draft quote → engineer one-click release</w:t>
      </w:r>
    </w:p>
    <w:p w:rsidR="00000000" w:rsidDel="00000000" w:rsidP="00000000" w:rsidRDefault="00000000" w:rsidRPr="00000000" w14:paraId="0000016B">
      <w:pPr>
        <w:shd w:fill="f5f7f8" w:val="clear"/>
        <w:spacing w:after="40" w:line="259.20000000000005" w:lineRule="auto"/>
        <w:ind w:left="500" w:firstLine="0"/>
        <w:rPr>
          <w:rFonts w:ascii="Courier New" w:cs="Courier New" w:eastAsia="Courier New" w:hAnsi="Courier New"/>
          <w:sz w:val="20"/>
          <w:szCs w:val="20"/>
        </w:rPr>
      </w:pPr>
      <w:r w:rsidDel="00000000" w:rsidR="00000000" w:rsidRPr="00000000">
        <w:rPr>
          <w:rFonts w:ascii="Gungsuh" w:cs="Gungsuh" w:eastAsia="Gungsuh" w:hAnsi="Gungsuh"/>
          <w:sz w:val="20"/>
          <w:szCs w:val="20"/>
          <w:rtl w:val="0"/>
        </w:rPr>
        <w:t xml:space="preserve">ELIF tier ≤ 2 AND min. field confidence ≥ C₂</w:t>
      </w:r>
    </w:p>
    <w:p w:rsidR="00000000" w:rsidDel="00000000" w:rsidP="00000000" w:rsidRDefault="00000000" w:rsidRPr="00000000" w14:paraId="0000016C">
      <w:pPr>
        <w:shd w:fill="f5f7f8" w:val="clear"/>
        <w:spacing w:after="40" w:line="259.20000000000005" w:lineRule="auto"/>
        <w:ind w:left="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THEN engineer workspace: pre-filled schema, flagged uncertainties, ranked options</w:t>
      </w:r>
    </w:p>
    <w:p w:rsidR="00000000" w:rsidDel="00000000" w:rsidP="00000000" w:rsidRDefault="00000000" w:rsidRPr="00000000" w14:paraId="0000016D">
      <w:pPr>
        <w:shd w:fill="f5f7f8" w:val="clear"/>
        <w:spacing w:after="40" w:line="259.20000000000005" w:lineRule="auto"/>
        <w:ind w:left="5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ELSE full engineer workspace + senior review (Tier 3, CAD-dependent, low confidence)</w:t>
      </w:r>
    </w:p>
    <w:p w:rsidR="00000000" w:rsidDel="00000000" w:rsidP="00000000" w:rsidRDefault="00000000" w:rsidRPr="00000000" w14:paraId="0000016E">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thresholds C₁, C₂ and V₁ are design parameters, not findings; setting them against observed override rates is the work of the pilot in 11.1. Under this routing the estimator's role is redefined upward — exception-handler and consultative advisor, owning the flagged uncertainties, the curve-edge calls, and the Tier 3 work that genuinely needs judgement (change-management treatment in 11.2). Constraint five then powers the correction flywheel of Exhibit 7.3 (Appendix B): corrections become labelled data, accuracy rises, the routing admits more inquiries to the assisted paths, and freed capacity concentrates where margin is highest — a projected mechanism the pilot exists to observe. Error containment closes the loop: value-gated release regardless of confidence, escalation for out-of-band discounts, the immutable audit log, and a single switch back to manual. Whose signature a quote carries is taken up in 11.3.</w:t>
      </w:r>
    </w:p>
    <w:p w:rsidR="00000000" w:rsidDel="00000000" w:rsidP="00000000" w:rsidRDefault="00000000" w:rsidRPr="00000000" w14:paraId="0000016F">
      <w:pPr>
        <w:pStyle w:val="Heading1"/>
        <w:keepNext w:val="0"/>
        <w:keepLines w:val="0"/>
        <w:spacing w:after="100" w:before="240" w:line="360" w:lineRule="auto"/>
        <w:rPr>
          <w:rFonts w:ascii="Times New Roman" w:cs="Times New Roman" w:eastAsia="Times New Roman" w:hAnsi="Times New Roman"/>
          <w:b w:val="1"/>
          <w:bCs w:val="1"/>
          <w:sz w:val="46"/>
          <w:szCs w:val="46"/>
        </w:rPr>
      </w:pPr>
      <w:bookmarkStart w:colFirst="0" w:colLast="0" w:name="_dn5q2ufw30lb" w:id="37"/>
      <w:bookmarkEnd w:id="37"/>
      <w:r w:rsidDel="00000000" w:rsidR="00000000" w:rsidRPr="00000000">
        <w:rPr>
          <w:rFonts w:ascii="Times New Roman" w:cs="Times New Roman" w:eastAsia="Times New Roman" w:hAnsi="Times New Roman"/>
          <w:b w:val="1"/>
          <w:bCs w:val="1"/>
          <w:sz w:val="46"/>
          <w:szCs w:val="46"/>
          <w:rtl w:val="0"/>
        </w:rPr>
        <w:t xml:space="preserve">7.8 Build, buy or partner</w:t>
      </w:r>
    </w:p>
    <w:p w:rsidR="00000000" w:rsidDel="00000000" w:rsidP="00000000" w:rsidRDefault="00000000" w:rsidRPr="00000000" w14:paraId="00000170">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 7.2 (Appendix B) shows the layers assembled; Table 7.2 states the sourcing decision per component. The pattern: buy the probabilistic commodity, partner for domain logic the manufacturer maintains, build only the thin layers that encode Khoory's process and data — where defensibility lives.</w:t>
      </w:r>
    </w:p>
    <w:tbl>
      <w:tblPr>
        <w:tblStyle w:val="Table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730"/>
        <w:gridCol w:w="4020"/>
        <w:tblGridChange w:id="0">
          <w:tblGrid>
            <w:gridCol w:w="2370"/>
            <w:gridCol w:w="2730"/>
            <w:gridCol w:w="40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eaf1f3" w:val="clear"/>
            <w:tcMar>
              <w:top w:w="40.0" w:type="dxa"/>
              <w:left w:w="100.0" w:type="dxa"/>
              <w:bottom w:w="40.0" w:type="dxa"/>
              <w:right w:w="100.0" w:type="dxa"/>
            </w:tcMar>
            <w:vAlign w:val="top"/>
          </w:tcPr>
          <w:p w:rsidR="00000000" w:rsidDel="00000000" w:rsidP="00000000" w:rsidRDefault="00000000" w:rsidRPr="00000000" w14:paraId="00000171">
            <w:pPr>
              <w:spacing w:after="20" w:line="3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Capability</w:t>
            </w:r>
          </w:p>
        </w:tc>
        <w:tc>
          <w:tcPr>
            <w:tcBorders>
              <w:top w:color="000000" w:space="0" w:sz="6" w:val="single"/>
              <w:left w:color="000000" w:space="0" w:sz="0" w:val="nil"/>
              <w:bottom w:color="000000" w:space="0" w:sz="6" w:val="single"/>
              <w:right w:color="000000" w:space="0" w:sz="6" w:val="single"/>
            </w:tcBorders>
            <w:shd w:fill="eaf1f3" w:val="clear"/>
            <w:tcMar>
              <w:top w:w="40.0" w:type="dxa"/>
              <w:left w:w="100.0" w:type="dxa"/>
              <w:bottom w:w="40.0" w:type="dxa"/>
              <w:right w:w="100.0" w:type="dxa"/>
            </w:tcMar>
            <w:vAlign w:val="top"/>
          </w:tcPr>
          <w:p w:rsidR="00000000" w:rsidDel="00000000" w:rsidP="00000000" w:rsidRDefault="00000000" w:rsidRPr="00000000" w14:paraId="00000172">
            <w:pPr>
              <w:spacing w:after="20" w:line="3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Approach</w:t>
            </w:r>
          </w:p>
        </w:tc>
        <w:tc>
          <w:tcPr>
            <w:tcBorders>
              <w:top w:color="000000" w:space="0" w:sz="6" w:val="single"/>
              <w:left w:color="000000" w:space="0" w:sz="0" w:val="nil"/>
              <w:bottom w:color="000000" w:space="0" w:sz="6" w:val="single"/>
              <w:right w:color="000000" w:space="0" w:sz="6" w:val="single"/>
            </w:tcBorders>
            <w:shd w:fill="eaf1f3" w:val="clear"/>
            <w:tcMar>
              <w:top w:w="40.0" w:type="dxa"/>
              <w:left w:w="100.0" w:type="dxa"/>
              <w:bottom w:w="40.0" w:type="dxa"/>
              <w:right w:w="100.0" w:type="dxa"/>
            </w:tcMar>
            <w:vAlign w:val="top"/>
          </w:tcPr>
          <w:p w:rsidR="00000000" w:rsidDel="00000000" w:rsidP="00000000" w:rsidRDefault="00000000" w:rsidRPr="00000000" w14:paraId="00000173">
            <w:pPr>
              <w:spacing w:after="20" w:line="3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Rationale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74">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 &amp; email extraction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75">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Buy (foundation-model API) + build schema/validation layer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76">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Models are a fast-moving commodity; owning the schema keeps the system model-agnostic</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77">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Intake, classification, clarification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78">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Build (thin orchestration)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79">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Encodes the 4.2 taxonomy and completeness rules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7A">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Product data layer (7.5)</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7B">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Build (PostgreSQL + pgvector, managed hosting)</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7C">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Normalization, versioning and history are the substrate of the Section 10 data asset</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7D">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Hydraulic engine</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7E">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Build (deterministic rules)</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7F">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Settled formulas; must be auditable line by line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80">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Pump selection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81">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Partner (manufacturer curve/selection APIs)</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82">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Grundfos maintains the curves; rebuilding invites divergence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83">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Pricing engine</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84">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Build (rules + ERP integration)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85">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Bands and cost data are Khoory's own; recovers the 1.9% leak</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86">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Review workspace &amp; routing</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87">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Build</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88">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7.7 design is the differentiating asset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89">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Audit log, identity, monitoring</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8A">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Buy (standard components)</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8B">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Undifferentiated; shortens the path to pilot</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8C">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CAD parsing</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8D">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Defer (out of Phase 1)</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8E">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Hardest problem, lowest early payoff</w:t>
            </w:r>
          </w:p>
        </w:tc>
      </w:tr>
    </w:tbl>
    <w:p w:rsidR="00000000" w:rsidDel="00000000" w:rsidP="00000000" w:rsidRDefault="00000000" w:rsidRPr="00000000" w14:paraId="0000018F">
      <w:pPr>
        <w:spacing w:after="160" w:before="60" w:line="360" w:lineRule="auto"/>
        <w:rPr>
          <w:rFonts w:ascii="Times New Roman" w:cs="Times New Roman" w:eastAsia="Times New Roman" w:hAnsi="Times New Roman"/>
          <w:color w:val="595959"/>
          <w:sz w:val="20"/>
          <w:szCs w:val="20"/>
        </w:rPr>
      </w:pPr>
      <w:r w:rsidDel="00000000" w:rsidR="00000000" w:rsidRPr="00000000">
        <w:rPr>
          <w:rFonts w:ascii="Times New Roman" w:cs="Times New Roman" w:eastAsia="Times New Roman" w:hAnsi="Times New Roman"/>
          <w:color w:val="595959"/>
          <w:sz w:val="20"/>
          <w:szCs w:val="20"/>
          <w:rtl w:val="0"/>
        </w:rPr>
        <w:t xml:space="preserve">Table 7.2. Sourcing by component. The build column is intentionally thin: orchestration, rules, data and workspace.</w:t>
      </w:r>
    </w:p>
    <w:p w:rsidR="00000000" w:rsidDel="00000000" w:rsidP="00000000" w:rsidRDefault="00000000" w:rsidRPr="00000000" w14:paraId="00000190">
      <w:pPr>
        <w:pStyle w:val="Heading1"/>
        <w:keepNext w:val="0"/>
        <w:keepLines w:val="0"/>
        <w:spacing w:after="100" w:before="240" w:line="360" w:lineRule="auto"/>
        <w:rPr>
          <w:rFonts w:ascii="Times New Roman" w:cs="Times New Roman" w:eastAsia="Times New Roman" w:hAnsi="Times New Roman"/>
          <w:b w:val="1"/>
          <w:bCs w:val="1"/>
          <w:sz w:val="46"/>
          <w:szCs w:val="46"/>
        </w:rPr>
      </w:pPr>
      <w:bookmarkStart w:colFirst="0" w:colLast="0" w:name="_s7x8am2scgp2" w:id="38"/>
      <w:bookmarkEnd w:id="38"/>
      <w:r w:rsidDel="00000000" w:rsidR="00000000" w:rsidRPr="00000000">
        <w:rPr>
          <w:rFonts w:ascii="Times New Roman" w:cs="Times New Roman" w:eastAsia="Times New Roman" w:hAnsi="Times New Roman"/>
          <w:b w:val="1"/>
          <w:bCs w:val="1"/>
          <w:sz w:val="46"/>
          <w:szCs w:val="46"/>
          <w:rtl w:val="0"/>
        </w:rPr>
        <w:t xml:space="preserve">7.9 The Innovo inquiry, to-be: a simulated walk-through</w:t>
      </w:r>
    </w:p>
    <w:p w:rsidR="00000000" w:rsidDel="00000000" w:rsidP="00000000" w:rsidRDefault="00000000" w:rsidRPr="00000000" w14:paraId="00000191">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follows is a simulated scenario: the inquiry of Section 4.5 processed under the proposed design, with step times drawn from the Section 8 assumptions. Nothing in it has happened.</w:t>
      </w:r>
    </w:p>
    <w:p w:rsidR="00000000" w:rsidDel="00000000" w:rsidP="00000000" w:rsidRDefault="00000000" w:rsidRPr="00000000" w14:paraId="00000192">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Thursday, 16:40: the email lands and intake opens it within the minute — classified, valued, in band [A1]. By 16:52 extraction has populated the schema and validation has found the same gaps a human found on day two, with the riser ambiguity flagged as an explicit conflict [A2]; at 16:53 a single consolidated clarification is on its way, thirteen minutes after receipt instead of 22 working hours [A3]. Friday, 11:05: the contractor replies; the system merges the thread, re-validates, runs the head-loss calculations, filters the product store, queries the selection API, and holds a draft quote — models ranked, the booster duty point flagged near its curve edge, prices in band — by 11:12. It is waiting on someone, rather than someone waiting on it, and that inversion is the whole design. At 14:00, the estimator's first free slot, the twenty-minute review turns on the flagged selection; the senior's confirmation is two lines, one alternate is added, the discount stays in band [A6, A7]. At 15:10 Friday the quote would go out, with the estimator's name on it per 11.3. Seven calendar days would become one; 5.5 touch hours would become roughly 25 minutes; and neither near-miss of 4.5 would arise to be caught. The conditional tense is deliberate — these times are model outputs — but the contrast is with numbers that were measured, and closing that asymmetry is Section 8's job.</w:t>
      </w:r>
    </w:p>
    <w:p w:rsidR="00000000" w:rsidDel="00000000" w:rsidP="00000000" w:rsidRDefault="00000000" w:rsidRPr="00000000" w14:paraId="00000193">
      <w:pPr>
        <w:pStyle w:val="Heading1"/>
        <w:keepNext w:val="0"/>
        <w:keepLines w:val="0"/>
        <w:spacing w:after="100" w:before="240" w:line="360" w:lineRule="auto"/>
        <w:rPr>
          <w:rFonts w:ascii="Times New Roman" w:cs="Times New Roman" w:eastAsia="Times New Roman" w:hAnsi="Times New Roman"/>
          <w:b w:val="1"/>
          <w:bCs w:val="1"/>
          <w:sz w:val="46"/>
          <w:szCs w:val="46"/>
        </w:rPr>
      </w:pPr>
      <w:bookmarkStart w:colFirst="0" w:colLast="0" w:name="_hdr811bdz23g" w:id="39"/>
      <w:bookmarkEnd w:id="39"/>
      <w:r w:rsidDel="00000000" w:rsidR="00000000" w:rsidRPr="00000000">
        <w:rPr>
          <w:rFonts w:ascii="Times New Roman" w:cs="Times New Roman" w:eastAsia="Times New Roman" w:hAnsi="Times New Roman"/>
          <w:b w:val="1"/>
          <w:bCs w:val="1"/>
          <w:sz w:val="46"/>
          <w:szCs w:val="46"/>
          <w:rtl w:val="0"/>
        </w:rPr>
        <w:t xml:space="preserve">7.10 Phasing preview</w:t>
      </w:r>
    </w:p>
    <w:p w:rsidR="00000000" w:rsidDel="00000000" w:rsidP="00000000" w:rsidRDefault="00000000" w:rsidRPr="00000000" w14:paraId="00000194">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would be admitted in stages, each earning the next through a pre-defined gate. Phase 1 runs the pipeline in shadow, every quote human-released, outputs scored against the estimators — Phase 1 is the pilot itself. Phase 2 opens auto-draft for Tier 1 only, gated on extraction accuracy over N live inquiries, override rate below threshold, and zero escaped defects in shadow. Phase 3 makes assisted routing the Tier 2 default, auto-sends clarifications, and revisits deferred items — pricing optimization, CAD — on the strength of accumulated flywheel data, gated on Phase 2 metrics holding for a full quarter with adoption evidence per the 11.5 dashboard. Thresholds are stated as symbols deliberately: they are parameters the pilot exists to determine, and the full roadmap with kill criteria is the subject of 11.1.</w:t>
      </w:r>
    </w:p>
    <w:p w:rsidR="00000000" w:rsidDel="00000000" w:rsidP="00000000" w:rsidRDefault="00000000" w:rsidRPr="00000000" w14:paraId="00000195">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7">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B (extract) — Section 7 Exhibits</w:t>
      </w:r>
    </w:p>
    <w:p w:rsidR="00000000" w:rsidDel="00000000" w:rsidP="00000000" w:rsidRDefault="00000000" w:rsidRPr="00000000" w14:paraId="00000198">
      <w:pPr>
        <w:spacing w:after="160" w:before="60" w:line="360" w:lineRule="auto"/>
        <w:rPr>
          <w:rFonts w:ascii="Times New Roman" w:cs="Times New Roman" w:eastAsia="Times New Roman" w:hAnsi="Times New Roman"/>
          <w:color w:val="595959"/>
          <w:sz w:val="20"/>
          <w:szCs w:val="20"/>
        </w:rPr>
      </w:pPr>
      <w:r w:rsidDel="00000000" w:rsidR="00000000" w:rsidRPr="00000000">
        <w:rPr>
          <w:rFonts w:ascii="Times New Roman" w:cs="Times New Roman" w:eastAsia="Times New Roman" w:hAnsi="Times New Roman"/>
          <w:color w:val="595959"/>
          <w:sz w:val="20"/>
          <w:szCs w:val="20"/>
          <w:rtl w:val="0"/>
        </w:rPr>
        <w:t xml:space="preserve">Exhibit 7.1. Projected to-be process for a Tier 2 inquiry. Every System-lane time is a simulation output; the bracketed ID names the Appendix A assumption that carries it. The contractor's reply time is the one interval no redesign controls, shown at its measured Section 4 value.</w:t>
      </w:r>
    </w:p>
    <w:p w:rsidR="00000000" w:rsidDel="00000000" w:rsidP="00000000" w:rsidRDefault="00000000" w:rsidRPr="00000000" w14:paraId="00000199">
      <w:pPr>
        <w:spacing w:after="160" w:before="60" w:line="360" w:lineRule="auto"/>
        <w:rPr>
          <w:rFonts w:ascii="Times New Roman" w:cs="Times New Roman" w:eastAsia="Times New Roman" w:hAnsi="Times New Roman"/>
          <w:color w:val="595959"/>
          <w:sz w:val="20"/>
          <w:szCs w:val="20"/>
        </w:rPr>
      </w:pPr>
      <w:r w:rsidDel="00000000" w:rsidR="00000000" w:rsidRPr="00000000">
        <w:rPr>
          <w:rFonts w:ascii="Times New Roman" w:cs="Times New Roman" w:eastAsia="Times New Roman" w:hAnsi="Times New Roman"/>
          <w:color w:val="595959"/>
          <w:sz w:val="20"/>
          <w:szCs w:val="20"/>
          <w:rtl w:val="0"/>
        </w:rPr>
        <w:t xml:space="preserve">Exhibit 7.2. The proposed architecture. Probabilistic components (sand) are bought; deterministic, rules and data components (white) are built; the selection engine partners with the manufacturer's curve APIs. The dashed return path is the flywheel of Exhibit 7.3.</w:t>
      </w:r>
    </w:p>
    <w:p w:rsidR="00000000" w:rsidDel="00000000" w:rsidP="00000000" w:rsidRDefault="00000000" w:rsidRPr="00000000" w14:paraId="0000019A">
      <w:pPr>
        <w:spacing w:after="160" w:before="60" w:line="360" w:lineRule="auto"/>
        <w:rPr>
          <w:rFonts w:ascii="Times New Roman" w:cs="Times New Roman" w:eastAsia="Times New Roman" w:hAnsi="Times New Roman"/>
          <w:color w:val="595959"/>
          <w:sz w:val="20"/>
          <w:szCs w:val="20"/>
        </w:rPr>
      </w:pPr>
      <w:r w:rsidDel="00000000" w:rsidR="00000000" w:rsidRPr="00000000">
        <w:rPr>
          <w:rFonts w:ascii="Times New Roman" w:cs="Times New Roman" w:eastAsia="Times New Roman" w:hAnsi="Times New Roman"/>
          <w:color w:val="595959"/>
          <w:sz w:val="20"/>
          <w:szCs w:val="20"/>
          <w:rtl w:val="0"/>
        </w:rPr>
        <w:t xml:space="preserve">Exhibit 7.3. The correction flywheel. Constraint five of 7.1 makes every human intervention a labelled training example; accuracy rises, routing admits more inquiries to assisted and auto-draft paths, and freed capacity concentrates on complex, high-margin work. Projected mechanism; the pilot observes its first turn.</w:t>
      </w:r>
    </w:p>
    <w:p w:rsidR="00000000" w:rsidDel="00000000" w:rsidP="00000000" w:rsidRDefault="00000000" w:rsidRPr="00000000" w14:paraId="000001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C">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G (extract) — Canonical RFQ Schema</w:t>
      </w:r>
    </w:p>
    <w:tbl>
      <w:tblPr>
        <w:tblStyle w:val="Table7"/>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3825"/>
        <w:gridCol w:w="1365"/>
        <w:gridCol w:w="1005"/>
        <w:gridCol w:w="2460"/>
        <w:tblGridChange w:id="0">
          <w:tblGrid>
            <w:gridCol w:w="450"/>
            <w:gridCol w:w="3825"/>
            <w:gridCol w:w="1365"/>
            <w:gridCol w:w="1005"/>
            <w:gridCol w:w="24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eaf1f3" w:val="clear"/>
            <w:tcMar>
              <w:top w:w="40.0" w:type="dxa"/>
              <w:left w:w="100.0" w:type="dxa"/>
              <w:bottom w:w="40.0" w:type="dxa"/>
              <w:right w:w="100.0" w:type="dxa"/>
            </w:tcMar>
            <w:vAlign w:val="top"/>
          </w:tcPr>
          <w:p w:rsidR="00000000" w:rsidDel="00000000" w:rsidP="00000000" w:rsidRDefault="00000000" w:rsidRPr="00000000" w14:paraId="0000019D">
            <w:pPr>
              <w:spacing w:after="20" w:line="3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t>
            </w:r>
          </w:p>
        </w:tc>
        <w:tc>
          <w:tcPr>
            <w:tcBorders>
              <w:top w:color="000000" w:space="0" w:sz="6" w:val="single"/>
              <w:left w:color="000000" w:space="0" w:sz="0" w:val="nil"/>
              <w:bottom w:color="000000" w:space="0" w:sz="6" w:val="single"/>
              <w:right w:color="000000" w:space="0" w:sz="6" w:val="single"/>
            </w:tcBorders>
            <w:shd w:fill="eaf1f3" w:val="clear"/>
            <w:tcMar>
              <w:top w:w="40.0" w:type="dxa"/>
              <w:left w:w="100.0" w:type="dxa"/>
              <w:bottom w:w="40.0" w:type="dxa"/>
              <w:right w:w="100.0" w:type="dxa"/>
            </w:tcMar>
            <w:vAlign w:val="top"/>
          </w:tcPr>
          <w:p w:rsidR="00000000" w:rsidDel="00000000" w:rsidP="00000000" w:rsidRDefault="00000000" w:rsidRPr="00000000" w14:paraId="0000019E">
            <w:pPr>
              <w:spacing w:after="20" w:line="3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w:t>
            </w:r>
          </w:p>
        </w:tc>
        <w:tc>
          <w:tcPr>
            <w:tcBorders>
              <w:top w:color="000000" w:space="0" w:sz="6" w:val="single"/>
              <w:left w:color="000000" w:space="0" w:sz="0" w:val="nil"/>
              <w:bottom w:color="000000" w:space="0" w:sz="6" w:val="single"/>
              <w:right w:color="000000" w:space="0" w:sz="6" w:val="single"/>
            </w:tcBorders>
            <w:shd w:fill="eaf1f3" w:val="clear"/>
            <w:tcMar>
              <w:top w:w="40.0" w:type="dxa"/>
              <w:left w:w="100.0" w:type="dxa"/>
              <w:bottom w:w="40.0" w:type="dxa"/>
              <w:right w:w="100.0" w:type="dxa"/>
            </w:tcMar>
            <w:vAlign w:val="top"/>
          </w:tcPr>
          <w:p w:rsidR="00000000" w:rsidDel="00000000" w:rsidP="00000000" w:rsidRDefault="00000000" w:rsidRPr="00000000" w14:paraId="0000019F">
            <w:pPr>
              <w:spacing w:after="20" w:line="3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Type</w:t>
            </w:r>
          </w:p>
        </w:tc>
        <w:tc>
          <w:tcPr>
            <w:tcBorders>
              <w:top w:color="000000" w:space="0" w:sz="6" w:val="single"/>
              <w:left w:color="000000" w:space="0" w:sz="0" w:val="nil"/>
              <w:bottom w:color="000000" w:space="0" w:sz="6" w:val="single"/>
              <w:right w:color="000000" w:space="0" w:sz="6" w:val="single"/>
            </w:tcBorders>
            <w:shd w:fill="eaf1f3" w:val="clear"/>
            <w:tcMar>
              <w:top w:w="40.0" w:type="dxa"/>
              <w:left w:w="100.0" w:type="dxa"/>
              <w:bottom w:w="40.0" w:type="dxa"/>
              <w:right w:w="100.0" w:type="dxa"/>
            </w:tcMar>
            <w:vAlign w:val="top"/>
          </w:tcPr>
          <w:p w:rsidR="00000000" w:rsidDel="00000000" w:rsidP="00000000" w:rsidRDefault="00000000" w:rsidRPr="00000000" w14:paraId="000001A0">
            <w:pPr>
              <w:spacing w:after="20" w:line="3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Required</w:t>
            </w:r>
          </w:p>
        </w:tc>
        <w:tc>
          <w:tcPr>
            <w:tcBorders>
              <w:top w:color="000000" w:space="0" w:sz="6" w:val="single"/>
              <w:left w:color="000000" w:space="0" w:sz="0" w:val="nil"/>
              <w:bottom w:color="000000" w:space="0" w:sz="6" w:val="single"/>
              <w:right w:color="000000" w:space="0" w:sz="6" w:val="single"/>
            </w:tcBorders>
            <w:shd w:fill="eaf1f3" w:val="clear"/>
            <w:tcMar>
              <w:top w:w="40.0" w:type="dxa"/>
              <w:left w:w="100.0" w:type="dxa"/>
              <w:bottom w:w="40.0" w:type="dxa"/>
              <w:right w:w="100.0" w:type="dxa"/>
            </w:tcMar>
            <w:vAlign w:val="top"/>
          </w:tcPr>
          <w:p w:rsidR="00000000" w:rsidDel="00000000" w:rsidP="00000000" w:rsidRDefault="00000000" w:rsidRPr="00000000" w14:paraId="000001A1">
            <w:pPr>
              <w:spacing w:after="20" w:line="3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Typical source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A2">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A3">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Contractor &amp; project identity</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A4">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A5">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A6">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Email header / body</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A7">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A8">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System type (booster, circulation, transfer, chilled water)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A9">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enum</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AA">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AB">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Schedule / spec</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AC">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AD">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Number of distinct hydraulic systems</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AE">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AF">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B0">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Schedule / drawings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B1">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B2">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Design flow rate, per system (m³/h)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B3">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number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B4">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B5">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Schedule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B6">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B7">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Static head / vertical rise, per system (m)</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B8">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number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B9">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BA">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Riser diagram</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BB">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BC">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Pipe run length (m)</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BD">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number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BE">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BF">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Drawings / spec</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C0">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C1">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Pipe diameter and material</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C2">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number + enum</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C3">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C4">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Spec</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C5">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C6">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Fittings summary (bends, valves, strainers)</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C7">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structured list</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C8">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C9">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Drawings / default profile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CA">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CB">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Fluid and temperature</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CC">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enum + number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CD">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CE">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Spec</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CF">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D0">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Power supply (voltage / phase)</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D1">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enum</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D2">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D3">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Spec</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D4">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D5">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Required delivery date</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D6">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D7">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D8">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Email body</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D9">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DA">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Attachments manifest &amp; per-field confidence</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DB">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metadata</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DC">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system</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DD">
            <w:pPr>
              <w:spacing w:after="2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Generated</w:t>
            </w:r>
          </w:p>
        </w:tc>
      </w:tr>
    </w:tbl>
    <w:p w:rsidR="00000000" w:rsidDel="00000000" w:rsidP="00000000" w:rsidRDefault="00000000" w:rsidRPr="00000000" w14:paraId="000001DE">
      <w:pPr>
        <w:spacing w:after="160" w:before="60" w:line="360" w:lineRule="auto"/>
        <w:rPr>
          <w:rFonts w:ascii="Times New Roman" w:cs="Times New Roman" w:eastAsia="Times New Roman" w:hAnsi="Times New Roman"/>
          <w:color w:val="595959"/>
          <w:sz w:val="20"/>
          <w:szCs w:val="20"/>
        </w:rPr>
      </w:pPr>
      <w:r w:rsidDel="00000000" w:rsidR="00000000" w:rsidRPr="00000000">
        <w:rPr>
          <w:rFonts w:ascii="Times New Roman" w:cs="Times New Roman" w:eastAsia="Times New Roman" w:hAnsi="Times New Roman"/>
          <w:color w:val="595959"/>
          <w:sz w:val="20"/>
          <w:szCs w:val="20"/>
          <w:rtl w:val="0"/>
        </w:rPr>
        <w:t xml:space="preserve">Table 7.1. The canonical RFQ schema (simplified). Fields 4–8 repeat per hydraulic system on multi-system inquiries. Field 12 is generated by the extraction layer and is the input to the confidence router of 7.7.</w:t>
      </w:r>
    </w:p>
    <w:p w:rsidR="00000000" w:rsidDel="00000000" w:rsidP="00000000" w:rsidRDefault="00000000" w:rsidRPr="00000000" w14:paraId="000001DF">
      <w:pPr>
        <w:spacing w:after="120" w:line="360" w:lineRule="auto"/>
        <w:rPr>
          <w:rFonts w:ascii="Times New Roman" w:cs="Times New Roman" w:eastAsia="Times New Roman" w:hAnsi="Times New Roman"/>
          <w:color w:val="1f4e5f"/>
          <w:sz w:val="24"/>
          <w:szCs w:val="24"/>
        </w:rPr>
      </w:pPr>
      <w:r w:rsidDel="00000000" w:rsidR="00000000" w:rsidRPr="00000000">
        <w:rPr>
          <w:rtl w:val="0"/>
        </w:rPr>
      </w:r>
    </w:p>
    <w:p w:rsidR="00000000" w:rsidDel="00000000" w:rsidP="00000000" w:rsidRDefault="00000000" w:rsidRPr="00000000" w14:paraId="000001E0">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ez5s7re1iclu" w:id="40"/>
      <w:bookmarkEnd w:id="40"/>
      <w:r w:rsidDel="00000000" w:rsidR="00000000" w:rsidRPr="00000000">
        <w:rPr>
          <w:rFonts w:ascii="Times New Roman" w:cs="Times New Roman" w:eastAsia="Times New Roman" w:hAnsi="Times New Roman"/>
          <w:b w:val="1"/>
          <w:bCs w:val="1"/>
          <w:color w:val="2e6e7e"/>
          <w:sz w:val="24"/>
          <w:szCs w:val="24"/>
          <w:rtl w:val="0"/>
        </w:rPr>
        <w:t xml:space="preserve">8.1 Technical feasibility audit (audited evidence)</w:t>
      </w:r>
    </w:p>
    <w:p w:rsidR="00000000" w:rsidDel="00000000" w:rsidP="00000000" w:rsidRDefault="00000000" w:rsidRPr="00000000" w14:paraId="000001E1">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Sample 25–30 historical RFQs across tiers. For each, your engineers score every required data field: </w:t>
      </w:r>
      <w:r w:rsidDel="00000000" w:rsidR="00000000" w:rsidRPr="00000000">
        <w:rPr>
          <w:rFonts w:ascii="Times New Roman" w:cs="Times New Roman" w:eastAsia="Times New Roman" w:hAnsi="Times New Roman"/>
          <w:i w:val="1"/>
          <w:iCs w:val="1"/>
          <w:sz w:val="24"/>
          <w:szCs w:val="24"/>
          <w:rtl w:val="0"/>
        </w:rPr>
        <w:t xml:space="preserve">cleanly present in machine-readable text / present but embedded in image or table / ambiguous, requires judgement / absent, requires clarification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2">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 a document-complexity typology from the sample (clean digital PDF / scanned schedule / email fragments / CAD-dependent) with volume shares.</w:t>
      </w:r>
    </w:p>
    <w:p w:rsidR="00000000" w:rsidDel="00000000" w:rsidP="00000000" w:rsidRDefault="00000000" w:rsidRPr="00000000" w14:paraId="000001E3">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 each document type to published document-AI accuracy benchmarks (from 5.3), stating the mapping assumptions. Output: </w:t>
      </w:r>
      <w:r w:rsidDel="00000000" w:rsidR="00000000" w:rsidRPr="00000000">
        <w:rPr>
          <w:rFonts w:ascii="Times New Roman" w:cs="Times New Roman" w:eastAsia="Times New Roman" w:hAnsi="Times New Roman"/>
          <w:b w:val="1"/>
          <w:bCs w:val="1"/>
          <w:sz w:val="24"/>
          <w:szCs w:val="24"/>
          <w:rtl w:val="0"/>
        </w:rPr>
        <w:t xml:space="preserve">an evidence-based range for the achievable automation rate, by tier</w:t>
      </w:r>
      <w:r w:rsidDel="00000000" w:rsidR="00000000" w:rsidRPr="00000000">
        <w:rPr>
          <w:rFonts w:ascii="Times New Roman" w:cs="Times New Roman" w:eastAsia="Times New Roman" w:hAnsi="Times New Roman"/>
          <w:sz w:val="24"/>
          <w:szCs w:val="24"/>
          <w:rtl w:val="0"/>
        </w:rPr>
        <w:t xml:space="preserve"> — the single most important input to Sections 8.2 and 9.</w:t>
      </w:r>
    </w:p>
    <w:p w:rsidR="00000000" w:rsidDel="00000000" w:rsidP="00000000" w:rsidRDefault="00000000" w:rsidRPr="00000000" w14:paraId="000001E4">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Optional zero-build probe: </w:t>
      </w:r>
      <w:r w:rsidDel="00000000" w:rsidR="00000000" w:rsidRPr="00000000">
        <w:rPr>
          <w:rFonts w:ascii="Times New Roman" w:cs="Times New Roman" w:eastAsia="Times New Roman" w:hAnsi="Times New Roman"/>
          <w:sz w:val="24"/>
          <w:szCs w:val="24"/>
          <w:rtl w:val="0"/>
        </w:rPr>
        <w:t xml:space="preserve">run 5–10 redacted sample documents through an off-the-shelf LLM (no code, an afternoon) purely to sanity-check the benchmark mapping. If you do this, label it a “directional probe,” not a prototype; if you prefer not to, the audit stands on its own.</w:t>
      </w:r>
    </w:p>
    <w:p w:rsidR="00000000" w:rsidDel="00000000" w:rsidP="00000000" w:rsidRDefault="00000000" w:rsidRPr="00000000" w14:paraId="000001E5">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ntryizwsm6vk" w:id="41"/>
      <w:bookmarkEnd w:id="41"/>
      <w:r w:rsidDel="00000000" w:rsidR="00000000" w:rsidRPr="00000000">
        <w:rPr>
          <w:rFonts w:ascii="Times New Roman" w:cs="Times New Roman" w:eastAsia="Times New Roman" w:hAnsi="Times New Roman"/>
          <w:b w:val="1"/>
          <w:bCs w:val="1"/>
          <w:color w:val="2e6e7e"/>
          <w:sz w:val="24"/>
          <w:szCs w:val="24"/>
          <w:rtl w:val="0"/>
        </w:rPr>
        <w:t xml:space="preserve">8.2 Process simulation (simulated evidence)</w:t>
      </w:r>
    </w:p>
    <w:p w:rsidR="00000000" w:rsidDel="00000000" w:rsidP="00000000" w:rsidRDefault="00000000" w:rsidRPr="00000000" w14:paraId="000001E6">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 the cycle-time / capacity model described in 3.3, parameterized entirely from Section 4 measurements (arrival rates, touch times, queue discipline, engineer capacity).</w:t>
      </w:r>
    </w:p>
    <w:p w:rsidR="00000000" w:rsidDel="00000000" w:rsidP="00000000" w:rsidRDefault="00000000" w:rsidRPr="00000000" w14:paraId="000001E7">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Calibrate first: </w:t>
      </w:r>
      <w:r w:rsidDel="00000000" w:rsidR="00000000" w:rsidRPr="00000000">
        <w:rPr>
          <w:rFonts w:ascii="Times New Roman" w:cs="Times New Roman" w:eastAsia="Times New Roman" w:hAnsi="Times New Roman"/>
          <w:sz w:val="24"/>
          <w:szCs w:val="24"/>
          <w:rtl w:val="0"/>
        </w:rPr>
        <w:t xml:space="preserve">show the model reproducing the measured As-Is median and P90 cycle times within a stated tolerance. </w:t>
      </w:r>
      <w:r w:rsidDel="00000000" w:rsidR="00000000" w:rsidRPr="00000000">
        <w:rPr>
          <w:rFonts w:ascii="Times New Roman" w:cs="Times New Roman" w:eastAsia="Times New Roman" w:hAnsi="Times New Roman"/>
          <w:b w:val="1"/>
          <w:bCs w:val="1"/>
          <w:sz w:val="24"/>
          <w:szCs w:val="24"/>
          <w:rtl w:val="0"/>
        </w:rPr>
        <w:t xml:space="preserve">This calibration step is the credibility of the entire section</w:t>
      </w:r>
      <w:r w:rsidDel="00000000" w:rsidR="00000000" w:rsidRPr="00000000">
        <w:rPr>
          <w:rFonts w:ascii="Times New Roman" w:cs="Times New Roman" w:eastAsia="Times New Roman" w:hAnsi="Times New Roman"/>
          <w:sz w:val="24"/>
          <w:szCs w:val="24"/>
          <w:rtl w:val="0"/>
        </w:rPr>
        <w:t xml:space="preserve"> — a model that recreates observed reality earns the right to project a different one.</w:t>
      </w:r>
    </w:p>
    <w:p w:rsidR="00000000" w:rsidDel="00000000" w:rsidP="00000000" w:rsidRDefault="00000000" w:rsidRPr="00000000" w14:paraId="000001E8">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 run To-Be scenarios across the automation-rate range from 8.1. Report outputs as distributions: projected cycle time (median, P90), engineer utilization, and quoting capacity — under low / central / high automation.</w:t>
      </w:r>
    </w:p>
    <w:p w:rsidR="00000000" w:rsidDel="00000000" w:rsidP="00000000" w:rsidRDefault="00000000" w:rsidRPr="00000000" w14:paraId="000001E9">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One exhibit: As-Is measured vs. As-Is simulated (the calibration proof) vs. To-Be simulated (the projection). Three bars that carry the whole argument.</w:t>
      </w:r>
    </w:p>
    <w:p w:rsidR="00000000" w:rsidDel="00000000" w:rsidP="00000000" w:rsidRDefault="00000000" w:rsidRPr="00000000" w14:paraId="000001EA">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u8j6mear32nq" w:id="42"/>
      <w:bookmarkEnd w:id="42"/>
      <w:r w:rsidDel="00000000" w:rsidR="00000000" w:rsidRPr="00000000">
        <w:rPr>
          <w:rFonts w:ascii="Times New Roman" w:cs="Times New Roman" w:eastAsia="Times New Roman" w:hAnsi="Times New Roman"/>
          <w:b w:val="1"/>
          <w:bCs w:val="1"/>
          <w:color w:val="2e6e7e"/>
          <w:sz w:val="24"/>
          <w:szCs w:val="24"/>
          <w:rtl w:val="0"/>
        </w:rPr>
        <w:t xml:space="preserve">8.3 Expert &amp; practitioner validation (validated design)</w:t>
      </w:r>
    </w:p>
    <w:p w:rsidR="00000000" w:rsidDel="00000000" w:rsidP="00000000" w:rsidRDefault="00000000" w:rsidRPr="00000000" w14:paraId="000001EB">
      <w:pPr>
        <w:spacing w:after="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structured design review: your engineers (and, if accessible, one external AI/automation practitioner) walk the Section 7 architecture and formally score each component for feasibility, flag failure modes, and challenge the routing thresholds. Report it as a mini-Delphi: scores, dissents, and what you changed in the design as a result. </w:t>
      </w:r>
      <w:r w:rsidDel="00000000" w:rsidR="00000000" w:rsidRPr="00000000">
        <w:rPr>
          <w:rFonts w:ascii="Times New Roman" w:cs="Times New Roman" w:eastAsia="Times New Roman" w:hAnsi="Times New Roman"/>
          <w:b w:val="1"/>
          <w:bCs w:val="1"/>
          <w:sz w:val="24"/>
          <w:szCs w:val="24"/>
          <w:rtl w:val="0"/>
        </w:rPr>
        <w:t xml:space="preserve">Showing the design changed under expert challenge is ex-ante rigour at its best.</w:t>
      </w:r>
    </w:p>
    <w:p w:rsidR="00000000" w:rsidDel="00000000" w:rsidP="00000000" w:rsidRDefault="00000000" w:rsidRPr="00000000" w14:paraId="000001EC">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5imwxwa7dp36" w:id="43"/>
      <w:bookmarkEnd w:id="43"/>
      <w:r w:rsidDel="00000000" w:rsidR="00000000" w:rsidRPr="00000000">
        <w:rPr>
          <w:rFonts w:ascii="Times New Roman" w:cs="Times New Roman" w:eastAsia="Times New Roman" w:hAnsi="Times New Roman"/>
          <w:b w:val="1"/>
          <w:bCs w:val="1"/>
          <w:color w:val="2e6e7e"/>
          <w:sz w:val="24"/>
          <w:szCs w:val="24"/>
          <w:rtl w:val="0"/>
        </w:rPr>
        <w:t xml:space="preserve">8.4 Honest synthesis</w:t>
      </w:r>
    </w:p>
    <w:p w:rsidR="00000000" w:rsidDel="00000000" w:rsidP="00000000" w:rsidRDefault="00000000" w:rsidRPr="00000000" w14:paraId="000001ED">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short lists: what the evidence supports; what remains unproven; and — critically — </w:t>
      </w:r>
      <w:r w:rsidDel="00000000" w:rsidR="00000000" w:rsidRPr="00000000">
        <w:rPr>
          <w:rFonts w:ascii="Times New Roman" w:cs="Times New Roman" w:eastAsia="Times New Roman" w:hAnsi="Times New Roman"/>
          <w:b w:val="1"/>
          <w:bCs w:val="1"/>
          <w:sz w:val="24"/>
          <w:szCs w:val="24"/>
          <w:rtl w:val="0"/>
        </w:rPr>
        <w:t xml:space="preserve">the explicit register of assumptions that only a real pilot can validate</w:t>
      </w:r>
      <w:r w:rsidDel="00000000" w:rsidR="00000000" w:rsidRPr="00000000">
        <w:rPr>
          <w:rFonts w:ascii="Times New Roman" w:cs="Times New Roman" w:eastAsia="Times New Roman" w:hAnsi="Times New Roman"/>
          <w:sz w:val="24"/>
          <w:szCs w:val="24"/>
          <w:rtl w:val="0"/>
        </w:rPr>
        <w:t xml:space="preserve"> (live extraction accuracy, contractor acceptance, engineer adoption). This register becomes, verbatim, the Phase 1 pilot charter in Section 11. That hand-off — ‘here is exactly what we could not prove, and here is the bounded experiment that proves it’ — is the signature move of a first-class ex-ante paper.</w:t>
      </w:r>
      <w:r w:rsidDel="00000000" w:rsidR="00000000" w:rsidRPr="00000000">
        <w:rPr>
          <w:rtl w:val="0"/>
        </w:rPr>
      </w:r>
    </w:p>
    <w:p w:rsidR="00000000" w:rsidDel="00000000" w:rsidP="00000000" w:rsidRDefault="00000000" w:rsidRPr="00000000" w14:paraId="000001EE">
      <w:pPr>
        <w:pStyle w:val="Heading1"/>
        <w:keepNext w:val="0"/>
        <w:keepLines w:val="0"/>
        <w:spacing w:after="140" w:before="0" w:line="360" w:lineRule="auto"/>
        <w:rPr>
          <w:rFonts w:ascii="Times New Roman" w:cs="Times New Roman" w:eastAsia="Times New Roman" w:hAnsi="Times New Roman"/>
          <w:b w:val="1"/>
          <w:bCs w:val="1"/>
          <w:color w:val="1f4e5f"/>
          <w:sz w:val="24"/>
          <w:szCs w:val="24"/>
        </w:rPr>
      </w:pPr>
      <w:bookmarkStart w:colFirst="0" w:colLast="0" w:name="_uzumcdqfa6t5" w:id="44"/>
      <w:bookmarkEnd w:id="44"/>
      <w:r w:rsidDel="00000000" w:rsidR="00000000" w:rsidRPr="00000000">
        <w:rPr>
          <w:rFonts w:ascii="Times New Roman" w:cs="Times New Roman" w:eastAsia="Times New Roman" w:hAnsi="Times New Roman"/>
          <w:b w:val="1"/>
          <w:bCs w:val="1"/>
          <w:color w:val="1f4e5f"/>
          <w:sz w:val="24"/>
          <w:szCs w:val="24"/>
          <w:rtl w:val="0"/>
        </w:rPr>
        <w:t xml:space="preserve">Section 9 — Projected Financial Analysis (4.5 pages)</w:t>
      </w:r>
    </w:p>
    <w:p w:rsidR="00000000" w:rsidDel="00000000" w:rsidP="00000000" w:rsidRDefault="00000000" w:rsidRPr="00000000" w14:paraId="000001EF">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tupq6k415irw" w:id="45"/>
      <w:bookmarkEnd w:id="45"/>
      <w:r w:rsidDel="00000000" w:rsidR="00000000" w:rsidRPr="00000000">
        <w:rPr>
          <w:rFonts w:ascii="Times New Roman" w:cs="Times New Roman" w:eastAsia="Times New Roman" w:hAnsi="Times New Roman"/>
          <w:b w:val="1"/>
          <w:bCs w:val="1"/>
          <w:color w:val="2e6e7e"/>
          <w:sz w:val="24"/>
          <w:szCs w:val="24"/>
          <w:rtl w:val="0"/>
        </w:rPr>
        <w:t xml:space="preserve">9.1 Baseline economics of the quoting function (measured)</w:t>
      </w:r>
    </w:p>
    <w:p w:rsidR="00000000" w:rsidDel="00000000" w:rsidP="00000000" w:rsidRDefault="00000000" w:rsidRPr="00000000" w14:paraId="000001F0">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 fully-loaded quoting cost, revenue throughput per engineer, quantified leakage (errors + discounting) — all from 4.3/4.4; no new numbers.</w:t>
      </w:r>
    </w:p>
    <w:p w:rsidR="00000000" w:rsidDel="00000000" w:rsidP="00000000" w:rsidRDefault="00000000" w:rsidRPr="00000000" w14:paraId="000001F1">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byglzoglxb09" w:id="46"/>
      <w:bookmarkEnd w:id="46"/>
      <w:r w:rsidDel="00000000" w:rsidR="00000000" w:rsidRPr="00000000">
        <w:rPr>
          <w:rFonts w:ascii="Times New Roman" w:cs="Times New Roman" w:eastAsia="Times New Roman" w:hAnsi="Times New Roman"/>
          <w:b w:val="1"/>
          <w:bCs w:val="1"/>
          <w:color w:val="2e6e7e"/>
          <w:sz w:val="24"/>
          <w:szCs w:val="24"/>
          <w:rtl w:val="0"/>
        </w:rPr>
        <w:t xml:space="preserve">9.2 Benefits waterfall (projected, tagged)</w:t>
      </w:r>
    </w:p>
    <w:p w:rsidR="00000000" w:rsidDel="00000000" w:rsidP="00000000" w:rsidRDefault="00000000" w:rsidRPr="00000000" w14:paraId="000001F2">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exhibit, each bar tagged measured / audited / simulated and explicitly de-overlapped:</w:t>
      </w:r>
    </w:p>
    <w:p w:rsidR="00000000" w:rsidDel="00000000" w:rsidP="00000000" w:rsidRDefault="00000000" w:rsidRPr="00000000" w14:paraId="000001F3">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Engineering cost productivity — with the redeployment assumption stated: capacity redirected to complex, high-value quotes, not headcount reduction (also defuses the change-management tension in 11.2).</w:t>
      </w:r>
    </w:p>
    <w:p w:rsidR="00000000" w:rsidDel="00000000" w:rsidP="00000000" w:rsidRDefault="00000000" w:rsidRPr="00000000" w14:paraId="000001F4">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Error-cost elimination.</w:t>
      </w:r>
    </w:p>
    <w:p w:rsidR="00000000" w:rsidDel="00000000" w:rsidP="00000000" w:rsidRDefault="00000000" w:rsidRPr="00000000" w14:paraId="000001F5">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Discounting discipline — often the sleeper #1 benefit; flag it.</w:t>
      </w:r>
    </w:p>
    <w:p w:rsidR="00000000" w:rsidDel="00000000" w:rsidP="00000000" w:rsidRDefault="00000000" w:rsidRPr="00000000" w14:paraId="000001F6">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Win-rate uplift from speed.</w:t>
      </w:r>
    </w:p>
    <w:p w:rsidR="00000000" w:rsidDel="00000000" w:rsidP="00000000" w:rsidRDefault="00000000" w:rsidRPr="00000000" w14:paraId="000001F7">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 capacity — RFQs currently declined or ignored.</w:t>
      </w:r>
    </w:p>
    <w:p w:rsidR="00000000" w:rsidDel="00000000" w:rsidP="00000000" w:rsidRDefault="00000000" w:rsidRPr="00000000" w14:paraId="000001F8">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tu4saz5evmk" w:id="47"/>
      <w:bookmarkEnd w:id="47"/>
      <w:r w:rsidDel="00000000" w:rsidR="00000000" w:rsidRPr="00000000">
        <w:rPr>
          <w:rFonts w:ascii="Times New Roman" w:cs="Times New Roman" w:eastAsia="Times New Roman" w:hAnsi="Times New Roman"/>
          <w:b w:val="1"/>
          <w:bCs w:val="1"/>
          <w:color w:val="2e6e7e"/>
          <w:sz w:val="24"/>
          <w:szCs w:val="24"/>
          <w:rtl w:val="0"/>
        </w:rPr>
        <w:t xml:space="preserve">9.3 Validating the speed–win elasticity</w:t>
      </w:r>
    </w:p>
    <w:p w:rsidR="00000000" w:rsidDel="00000000" w:rsidP="00000000" w:rsidRDefault="00000000" w:rsidRPr="00000000" w14:paraId="000001F9">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single most attackable assumption. Triangulate: (a) your own historical data — win rate vs. response time on past quotes, even crude; (b) contractor interview evidence from 4.6; (c) industry evidence. State the range; use the low end in the base case.</w:t>
      </w:r>
      <w:r w:rsidDel="00000000" w:rsidR="00000000" w:rsidRPr="00000000">
        <w:rPr>
          <w:rtl w:val="0"/>
        </w:rPr>
      </w:r>
    </w:p>
    <w:p w:rsidR="00000000" w:rsidDel="00000000" w:rsidP="00000000" w:rsidRDefault="00000000" w:rsidRPr="00000000" w14:paraId="000001FA">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rwj5m4ebzv0p" w:id="48"/>
      <w:bookmarkEnd w:id="48"/>
      <w:r w:rsidDel="00000000" w:rsidR="00000000" w:rsidRPr="00000000">
        <w:rPr>
          <w:rFonts w:ascii="Times New Roman" w:cs="Times New Roman" w:eastAsia="Times New Roman" w:hAnsi="Times New Roman"/>
          <w:b w:val="1"/>
          <w:bCs w:val="1"/>
          <w:color w:val="2e6e7e"/>
          <w:sz w:val="24"/>
          <w:szCs w:val="24"/>
          <w:rtl w:val="0"/>
        </w:rPr>
        <w:t xml:space="preserve">9.4 Cost model</w:t>
      </w:r>
    </w:p>
    <w:p w:rsidR="00000000" w:rsidDel="00000000" w:rsidP="00000000" w:rsidRDefault="00000000" w:rsidRPr="00000000" w14:paraId="000001FB">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(development, integration, data cleanup) · run (inference/API at projected volume, licences, 0.2–0.5 FTE maintenance) · </w:t>
      </w:r>
      <w:r w:rsidDel="00000000" w:rsidR="00000000" w:rsidRPr="00000000">
        <w:rPr>
          <w:rFonts w:ascii="Times New Roman" w:cs="Times New Roman" w:eastAsia="Times New Roman" w:hAnsi="Times New Roman"/>
          <w:b w:val="1"/>
          <w:bCs w:val="1"/>
          <w:sz w:val="24"/>
          <w:szCs w:val="24"/>
          <w:rtl w:val="0"/>
        </w:rPr>
        <w:t xml:space="preserve">change costs</w:t>
      </w:r>
      <w:r w:rsidDel="00000000" w:rsidR="00000000" w:rsidRPr="00000000">
        <w:rPr>
          <w:rFonts w:ascii="Times New Roman" w:cs="Times New Roman" w:eastAsia="Times New Roman" w:hAnsi="Times New Roman"/>
          <w:sz w:val="24"/>
          <w:szCs w:val="24"/>
          <w:rtl w:val="0"/>
        </w:rPr>
        <w:t xml:space="preserve"> (training, transition productivity dip). Since you have no build experience to draw on, source cost estimates from analogous projects or vendor quotations and say so — an audited cost estimate beats a guessed one.</w:t>
      </w:r>
      <w:r w:rsidDel="00000000" w:rsidR="00000000" w:rsidRPr="00000000">
        <w:rPr>
          <w:rtl w:val="0"/>
        </w:rPr>
      </w:r>
    </w:p>
    <w:p w:rsidR="00000000" w:rsidDel="00000000" w:rsidP="00000000" w:rsidRDefault="00000000" w:rsidRPr="00000000" w14:paraId="000001FC">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pbqrmsauperh" w:id="49"/>
      <w:bookmarkEnd w:id="49"/>
      <w:r w:rsidDel="00000000" w:rsidR="00000000" w:rsidRPr="00000000">
        <w:rPr>
          <w:rFonts w:ascii="Times New Roman" w:cs="Times New Roman" w:eastAsia="Times New Roman" w:hAnsi="Times New Roman"/>
          <w:b w:val="1"/>
          <w:bCs w:val="1"/>
          <w:color w:val="2e6e7e"/>
          <w:sz w:val="24"/>
          <w:szCs w:val="24"/>
          <w:rtl w:val="0"/>
        </w:rPr>
        <w:t xml:space="preserve">9.5 Investment appraisal under uncertainty — now simulation-based</w:t>
      </w:r>
    </w:p>
    <w:p w:rsidR="00000000" w:rsidDel="00000000" w:rsidP="00000000" w:rsidRDefault="00000000" w:rsidRPr="00000000" w14:paraId="000001FD">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Five-year NPV, IRR, payback; discount rate justified.</w:t>
      </w:r>
    </w:p>
    <w:p w:rsidR="00000000" w:rsidDel="00000000" w:rsidP="00000000" w:rsidRDefault="00000000" w:rsidRPr="00000000" w14:paraId="000001FE">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Monte Carlo appraisal: </w:t>
      </w:r>
      <w:r w:rsidDel="00000000" w:rsidR="00000000" w:rsidRPr="00000000">
        <w:rPr>
          <w:rFonts w:ascii="Times New Roman" w:cs="Times New Roman" w:eastAsia="Times New Roman" w:hAnsi="Times New Roman"/>
          <w:sz w:val="24"/>
          <w:szCs w:val="24"/>
          <w:rtl w:val="0"/>
        </w:rPr>
        <w:t xml:space="preserve">run the financial model over the input distributions established in 8.1 (automation rate), 9.3 (win-rate uplift), and 9.4 (build cost). Report NPV as P10 / P50 / P90 and the </w:t>
      </w:r>
      <w:r w:rsidDel="00000000" w:rsidR="00000000" w:rsidRPr="00000000">
        <w:rPr>
          <w:rFonts w:ascii="Times New Roman" w:cs="Times New Roman" w:eastAsia="Times New Roman" w:hAnsi="Times New Roman"/>
          <w:b w:val="1"/>
          <w:bCs w:val="1"/>
          <w:sz w:val="24"/>
          <w:szCs w:val="24"/>
          <w:rtl w:val="0"/>
        </w:rPr>
        <w:t xml:space="preserve">probability of clearing the hurdle rate</w:t>
      </w:r>
      <w:r w:rsidDel="00000000" w:rsidR="00000000" w:rsidRPr="00000000">
        <w:rPr>
          <w:rFonts w:ascii="Times New Roman" w:cs="Times New Roman" w:eastAsia="Times New Roman" w:hAnsi="Times New Roman"/>
          <w:sz w:val="24"/>
          <w:szCs w:val="24"/>
          <w:rtl w:val="0"/>
        </w:rPr>
        <w:t xml:space="preserve">. This is the natural financial companion to the process simulation and the strongest possible replacement for implementation results.</w:t>
      </w:r>
    </w:p>
    <w:p w:rsidR="00000000" w:rsidDel="00000000" w:rsidP="00000000" w:rsidRDefault="00000000" w:rsidRPr="00000000" w14:paraId="000001FF">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Retain the hostile conservative case: automation at 50% of the audited central estimate, zero win-rate uplift, 30% build overrun. If it clears the hurdle on cost + error + discounting alone, you have a floor argument; if not, say so and identify the evidence that would de-risk it.</w:t>
      </w:r>
    </w:p>
    <w:p w:rsidR="00000000" w:rsidDel="00000000" w:rsidP="00000000" w:rsidRDefault="00000000" w:rsidRPr="00000000" w14:paraId="00000200">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5jbhwg8ipoaz" w:id="50"/>
      <w:bookmarkEnd w:id="50"/>
      <w:r w:rsidDel="00000000" w:rsidR="00000000" w:rsidRPr="00000000">
        <w:rPr>
          <w:rFonts w:ascii="Times New Roman" w:cs="Times New Roman" w:eastAsia="Times New Roman" w:hAnsi="Times New Roman"/>
          <w:b w:val="1"/>
          <w:bCs w:val="1"/>
          <w:color w:val="2e6e7e"/>
          <w:sz w:val="24"/>
          <w:szCs w:val="24"/>
          <w:rtl w:val="0"/>
        </w:rPr>
        <w:t xml:space="preserve">9.6 Sensitivity &amp; unit economics</w:t>
      </w:r>
    </w:p>
    <w:p w:rsidR="00000000" w:rsidDel="00000000" w:rsidP="00000000" w:rsidRDefault="00000000" w:rsidRPr="00000000" w14:paraId="00000201">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Tornado chart on: win-rate uplift, automation rate (audited range), extraction accuracy, build cost, redeployment value. Plus </w:t>
      </w:r>
      <w:r w:rsidDel="00000000" w:rsidR="00000000" w:rsidRPr="00000000">
        <w:rPr>
          <w:rFonts w:ascii="Times New Roman" w:cs="Times New Roman" w:eastAsia="Times New Roman" w:hAnsi="Times New Roman"/>
          <w:b w:val="1"/>
          <w:bCs w:val="1"/>
          <w:sz w:val="24"/>
          <w:szCs w:val="24"/>
          <w:rtl w:val="0"/>
        </w:rPr>
        <w:t xml:space="preserve">Innovo unit economics</w:t>
      </w:r>
      <w:r w:rsidDel="00000000" w:rsidR="00000000" w:rsidRPr="00000000">
        <w:rPr>
          <w:rFonts w:ascii="Times New Roman" w:cs="Times New Roman" w:eastAsia="Times New Roman" w:hAnsi="Times New Roman"/>
          <w:sz w:val="24"/>
          <w:szCs w:val="24"/>
          <w:rtl w:val="0"/>
        </w:rPr>
        <w:t xml:space="preserve">: the one RFQ, As-Is (measured) vs. To-Be (simulated) — cost, time, margin. The vignette closes its financial loop here.</w:t>
      </w:r>
      <w:r w:rsidDel="00000000" w:rsidR="00000000" w:rsidRPr="00000000">
        <w:rPr>
          <w:rtl w:val="0"/>
        </w:rPr>
      </w:r>
    </w:p>
    <w:p w:rsidR="00000000" w:rsidDel="00000000" w:rsidP="00000000" w:rsidRDefault="00000000" w:rsidRPr="00000000" w14:paraId="00000202">
      <w:pPr>
        <w:pStyle w:val="Heading1"/>
        <w:keepNext w:val="0"/>
        <w:keepLines w:val="0"/>
        <w:spacing w:after="140" w:before="0" w:line="360" w:lineRule="auto"/>
        <w:rPr>
          <w:rFonts w:ascii="Times New Roman" w:cs="Times New Roman" w:eastAsia="Times New Roman" w:hAnsi="Times New Roman"/>
          <w:b w:val="1"/>
          <w:bCs w:val="1"/>
          <w:color w:val="1f4e5f"/>
          <w:sz w:val="24"/>
          <w:szCs w:val="24"/>
        </w:rPr>
      </w:pPr>
      <w:bookmarkStart w:colFirst="0" w:colLast="0" w:name="_hup583hi7lrw" w:id="51"/>
      <w:bookmarkEnd w:id="51"/>
      <w:r w:rsidDel="00000000" w:rsidR="00000000" w:rsidRPr="00000000">
        <w:rPr>
          <w:rFonts w:ascii="Times New Roman" w:cs="Times New Roman" w:eastAsia="Times New Roman" w:hAnsi="Times New Roman"/>
          <w:b w:val="1"/>
          <w:bCs w:val="1"/>
          <w:color w:val="1f4e5f"/>
          <w:sz w:val="24"/>
          <w:szCs w:val="24"/>
          <w:rtl w:val="0"/>
        </w:rPr>
        <w:t xml:space="preserve">Section 10 — Business Model &amp; Strategic Implications (2.5 pages)</w:t>
      </w:r>
    </w:p>
    <w:p w:rsidR="00000000" w:rsidDel="00000000" w:rsidP="00000000" w:rsidRDefault="00000000" w:rsidRPr="00000000" w14:paraId="00000203">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8p0llldp6eka" w:id="52"/>
      <w:bookmarkEnd w:id="52"/>
      <w:r w:rsidDel="00000000" w:rsidR="00000000" w:rsidRPr="00000000">
        <w:rPr>
          <w:rFonts w:ascii="Times New Roman" w:cs="Times New Roman" w:eastAsia="Times New Roman" w:hAnsi="Times New Roman"/>
          <w:b w:val="1"/>
          <w:bCs w:val="1"/>
          <w:color w:val="2e6e7e"/>
          <w:sz w:val="24"/>
          <w:szCs w:val="24"/>
          <w:rtl w:val="0"/>
        </w:rPr>
        <w:t xml:space="preserve">10.1 Dual Business Model Canvas</w:t>
      </w:r>
    </w:p>
    <w:p w:rsidR="00000000" w:rsidDel="00000000" w:rsidP="00000000" w:rsidRDefault="00000000" w:rsidRPr="00000000" w14:paraId="00000204">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As-Is and proposed To-Be side by side (full size in appendix); commentary only on blocks that change. The key insight to surface: </w:t>
      </w:r>
      <w:r w:rsidDel="00000000" w:rsidR="00000000" w:rsidRPr="00000000">
        <w:rPr>
          <w:rFonts w:ascii="Times New Roman" w:cs="Times New Roman" w:eastAsia="Times New Roman" w:hAnsi="Times New Roman"/>
          <w:b w:val="1"/>
          <w:bCs w:val="1"/>
          <w:sz w:val="24"/>
          <w:szCs w:val="24"/>
          <w:rtl w:val="0"/>
        </w:rPr>
        <w:t xml:space="preserve">the key resource would migrate from engineer expertise to proprietary transaction data</w:t>
      </w:r>
      <w:r w:rsidDel="00000000" w:rsidR="00000000" w:rsidRPr="00000000">
        <w:rPr>
          <w:rFonts w:ascii="Times New Roman" w:cs="Times New Roman" w:eastAsia="Times New Roman" w:hAnsi="Times New Roman"/>
          <w:sz w:val="24"/>
          <w:szCs w:val="24"/>
          <w:rtl w:val="0"/>
        </w:rPr>
        <w:t xml:space="preserve"> (RFQs × selections × prices × win/loss outcomes) — a compounding asset competitors cannot buy.</w:t>
      </w:r>
    </w:p>
    <w:p w:rsidR="00000000" w:rsidDel="00000000" w:rsidP="00000000" w:rsidRDefault="00000000" w:rsidRPr="00000000" w14:paraId="00000205">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q7dtou7fzj9g" w:id="53"/>
      <w:bookmarkEnd w:id="53"/>
      <w:r w:rsidDel="00000000" w:rsidR="00000000" w:rsidRPr="00000000">
        <w:rPr>
          <w:rFonts w:ascii="Times New Roman" w:cs="Times New Roman" w:eastAsia="Times New Roman" w:hAnsi="Times New Roman"/>
          <w:b w:val="1"/>
          <w:bCs w:val="1"/>
          <w:color w:val="2e6e7e"/>
          <w:sz w:val="24"/>
          <w:szCs w:val="24"/>
          <w:rtl w:val="0"/>
        </w:rPr>
        <w:t xml:space="preserve">10.2 Resolving the disintermediation question (planted in 2.1)</w:t>
      </w:r>
    </w:p>
    <w:p w:rsidR="00000000" w:rsidDel="00000000" w:rsidP="00000000" w:rsidRDefault="00000000" w:rsidRPr="00000000" w14:paraId="00000206">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futures: (a) manufacturers automate selection and go direct; (b) contractors self-serve via manufacturer tools; (c) the distributor automates first and becomes the multi-manufacturer platform of record. Argue why moving first makes (c) attainable — neutrality across brands, embedded contractor workflow, the data flywheel from 7.6 — and concede the conditions under which (a) wins anyway. The ex-ante frame strengthens this section: you are arguing about strategic option value, which is inherently forward-looking. Give it a full page; it is the paper’s intellectual climax.</w:t>
      </w:r>
    </w:p>
    <w:p w:rsidR="00000000" w:rsidDel="00000000" w:rsidP="00000000" w:rsidRDefault="00000000" w:rsidRPr="00000000" w14:paraId="00000207">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g9t535efog30" w:id="54"/>
      <w:bookmarkEnd w:id="54"/>
      <w:r w:rsidDel="00000000" w:rsidR="00000000" w:rsidRPr="00000000">
        <w:rPr>
          <w:rFonts w:ascii="Times New Roman" w:cs="Times New Roman" w:eastAsia="Times New Roman" w:hAnsi="Times New Roman"/>
          <w:b w:val="1"/>
          <w:bCs w:val="1"/>
          <w:color w:val="2e6e7e"/>
          <w:sz w:val="24"/>
          <w:szCs w:val="24"/>
          <w:rtl w:val="0"/>
        </w:rPr>
        <w:t xml:space="preserve">10.3 New strategic options unlocked</w:t>
      </w:r>
    </w:p>
    <w:p w:rsidR="00000000" w:rsidDel="00000000" w:rsidP="00000000" w:rsidRDefault="00000000" w:rsidRPr="00000000" w14:paraId="00000208">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paragraphs, labelled as options not commitments: quotes-as-a-product (“2-hour guaranteed response”), a contractor self-service portal, licensing the capability to non-competing distributors.</w:t>
      </w:r>
    </w:p>
    <w:p w:rsidR="00000000" w:rsidDel="00000000" w:rsidP="00000000" w:rsidRDefault="00000000" w:rsidRPr="00000000" w14:paraId="00000209">
      <w:pPr>
        <w:pStyle w:val="Heading1"/>
        <w:keepNext w:val="0"/>
        <w:keepLines w:val="0"/>
        <w:spacing w:after="140" w:before="0" w:line="360" w:lineRule="auto"/>
        <w:rPr>
          <w:rFonts w:ascii="Times New Roman" w:cs="Times New Roman" w:eastAsia="Times New Roman" w:hAnsi="Times New Roman"/>
          <w:b w:val="1"/>
          <w:bCs w:val="1"/>
          <w:color w:val="1f4e5f"/>
          <w:sz w:val="24"/>
          <w:szCs w:val="24"/>
        </w:rPr>
      </w:pPr>
      <w:bookmarkStart w:colFirst="0" w:colLast="0" w:name="_3tur3rie0u2p" w:id="55"/>
      <w:bookmarkEnd w:id="55"/>
      <w:r w:rsidDel="00000000" w:rsidR="00000000" w:rsidRPr="00000000">
        <w:rPr>
          <w:rFonts w:ascii="Times New Roman" w:cs="Times New Roman" w:eastAsia="Times New Roman" w:hAnsi="Times New Roman"/>
          <w:b w:val="1"/>
          <w:bCs w:val="1"/>
          <w:color w:val="1f4e5f"/>
          <w:sz w:val="24"/>
          <w:szCs w:val="24"/>
          <w:rtl w:val="0"/>
        </w:rPr>
        <w:t xml:space="preserve">Section 11 — Recommended Implementation Path, Change &amp; Risk (2.5 pages)</w:t>
      </w:r>
    </w:p>
    <w:p w:rsidR="00000000" w:rsidDel="00000000" w:rsidP="00000000" w:rsidRDefault="00000000" w:rsidRPr="00000000" w14:paraId="0000020A">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q5jpuvv0hgfv" w:id="56"/>
      <w:bookmarkEnd w:id="56"/>
      <w:r w:rsidDel="00000000" w:rsidR="00000000" w:rsidRPr="00000000">
        <w:rPr>
          <w:rFonts w:ascii="Times New Roman" w:cs="Times New Roman" w:eastAsia="Times New Roman" w:hAnsi="Times New Roman"/>
          <w:b w:val="1"/>
          <w:bCs w:val="1"/>
          <w:color w:val="2e6e7e"/>
          <w:sz w:val="24"/>
          <w:szCs w:val="24"/>
          <w:rtl w:val="0"/>
        </w:rPr>
        <w:t xml:space="preserve">11.1 Stage-gated roadmap — the pilot is the point</w:t>
      </w:r>
    </w:p>
    <w:p w:rsidR="00000000" w:rsidDel="00000000" w:rsidP="00000000" w:rsidRDefault="00000000" w:rsidRPr="00000000" w14:paraId="0000020B">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Reframe Phase 1 explicitly as </w:t>
      </w:r>
      <w:r w:rsidDel="00000000" w:rsidR="00000000" w:rsidRPr="00000000">
        <w:rPr>
          <w:rFonts w:ascii="Times New Roman" w:cs="Times New Roman" w:eastAsia="Times New Roman" w:hAnsi="Times New Roman"/>
          <w:b w:val="1"/>
          <w:bCs w:val="1"/>
          <w:sz w:val="24"/>
          <w:szCs w:val="24"/>
          <w:rtl w:val="0"/>
        </w:rPr>
        <w:t xml:space="preserve">the validation experiment this paper could not run</w:t>
      </w:r>
      <w:r w:rsidDel="00000000" w:rsidR="00000000" w:rsidRPr="00000000">
        <w:rPr>
          <w:rFonts w:ascii="Times New Roman" w:cs="Times New Roman" w:eastAsia="Times New Roman" w:hAnsi="Times New Roman"/>
          <w:sz w:val="24"/>
          <w:szCs w:val="24"/>
          <w:rtl w:val="0"/>
        </w:rPr>
        <w:t xml:space="preserve">: a bounded pilot (e.g., 3 months, one RFQ tier, shadow-mode operation alongside the manual process) designed to test, one for one, the unproven-assumption register from 8.4 — live extraction accuracy, review time, engineer adoption, contractor reaction. Each gate carries metric thresholds and </w:t>
      </w:r>
      <w:r w:rsidDel="00000000" w:rsidR="00000000" w:rsidRPr="00000000">
        <w:rPr>
          <w:rFonts w:ascii="Times New Roman" w:cs="Times New Roman" w:eastAsia="Times New Roman" w:hAnsi="Times New Roman"/>
          <w:b w:val="1"/>
          <w:bCs w:val="1"/>
          <w:sz w:val="24"/>
          <w:szCs w:val="24"/>
          <w:rtl w:val="0"/>
        </w:rPr>
        <w:t xml:space="preserve">kill criteria</w:t>
      </w:r>
      <w:r w:rsidDel="00000000" w:rsidR="00000000" w:rsidRPr="00000000">
        <w:rPr>
          <w:rFonts w:ascii="Times New Roman" w:cs="Times New Roman" w:eastAsia="Times New Roman" w:hAnsi="Times New Roman"/>
          <w:sz w:val="24"/>
          <w:szCs w:val="24"/>
          <w:rtl w:val="0"/>
        </w:rPr>
        <w:t xml:space="preserve"> (“if live extraction accuracy &lt; X% after N RFQs, stop and revert to Option A”). Recommending an investment with pre-committed kill criteria is the most credible posture available to an ex-ante business case.</w:t>
      </w:r>
    </w:p>
    <w:p w:rsidR="00000000" w:rsidDel="00000000" w:rsidP="00000000" w:rsidRDefault="00000000" w:rsidRPr="00000000" w14:paraId="0000020C">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37f6y7vuqxov" w:id="57"/>
      <w:bookmarkEnd w:id="57"/>
      <w:r w:rsidDel="00000000" w:rsidR="00000000" w:rsidRPr="00000000">
        <w:rPr>
          <w:rFonts w:ascii="Times New Roman" w:cs="Times New Roman" w:eastAsia="Times New Roman" w:hAnsi="Times New Roman"/>
          <w:b w:val="1"/>
          <w:bCs w:val="1"/>
          <w:color w:val="2e6e7e"/>
          <w:sz w:val="24"/>
          <w:szCs w:val="24"/>
          <w:rtl w:val="0"/>
        </w:rPr>
        <w:t xml:space="preserve">11.2 Change management, applied</w:t>
      </w:r>
    </w:p>
    <w:p w:rsidR="00000000" w:rsidDel="00000000" w:rsidP="00000000" w:rsidRDefault="00000000" w:rsidRPr="00000000" w14:paraId="0000020D">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framework (Kotter or ADKAR), applied not recited. Core moves: engineers co-design and run the pilot; KPIs redesigned from quotes-produced to win-rate-and-margin; the redeployment promise from 9.2 made explicit and public early.</w:t>
      </w:r>
    </w:p>
    <w:p w:rsidR="00000000" w:rsidDel="00000000" w:rsidP="00000000" w:rsidRDefault="00000000" w:rsidRPr="00000000" w14:paraId="0000020E">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wherjrulwnsv" w:id="58"/>
      <w:bookmarkEnd w:id="58"/>
      <w:r w:rsidDel="00000000" w:rsidR="00000000" w:rsidRPr="00000000">
        <w:rPr>
          <w:rFonts w:ascii="Times New Roman" w:cs="Times New Roman" w:eastAsia="Times New Roman" w:hAnsi="Times New Roman"/>
          <w:b w:val="1"/>
          <w:bCs w:val="1"/>
          <w:color w:val="2e6e7e"/>
          <w:sz w:val="24"/>
          <w:szCs w:val="24"/>
          <w:rtl w:val="0"/>
        </w:rPr>
        <w:t xml:space="preserve">11.3 Liability &amp; trust</w:t>
      </w:r>
    </w:p>
    <w:p w:rsidR="00000000" w:rsidDel="00000000" w:rsidP="00000000" w:rsidRDefault="00000000" w:rsidRPr="00000000" w14:paraId="0000020F">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would legally sign an automated quote? Does professional-indemnity insurance require an engineer’s approval — and if yes, </w:t>
      </w:r>
      <w:r w:rsidDel="00000000" w:rsidR="00000000" w:rsidRPr="00000000">
        <w:rPr>
          <w:rFonts w:ascii="Times New Roman" w:cs="Times New Roman" w:eastAsia="Times New Roman" w:hAnsi="Times New Roman"/>
          <w:b w:val="1"/>
          <w:bCs w:val="1"/>
          <w:sz w:val="24"/>
          <w:szCs w:val="24"/>
          <w:rtl w:val="0"/>
        </w:rPr>
        <w:t xml:space="preserve">what ceiling does that place on the automation rate assumed in 8.2 and 9.5?</w:t>
      </w:r>
      <w:r w:rsidDel="00000000" w:rsidR="00000000" w:rsidRPr="00000000">
        <w:rPr>
          <w:rFonts w:ascii="Times New Roman" w:cs="Times New Roman" w:eastAsia="Times New Roman" w:hAnsi="Times New Roman"/>
          <w:sz w:val="24"/>
          <w:szCs w:val="24"/>
          <w:rtl w:val="0"/>
        </w:rPr>
        <w:t xml:space="preserve"> Close the loop explicitly; catching this circularity is worth real marks. Include contractor-facing trust design: quotes state review status; complex quotes always carry an engineer’s name.</w:t>
      </w:r>
    </w:p>
    <w:p w:rsidR="00000000" w:rsidDel="00000000" w:rsidP="00000000" w:rsidRDefault="00000000" w:rsidRPr="00000000" w14:paraId="00000210">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39aoq4y6jks8" w:id="59"/>
      <w:bookmarkEnd w:id="59"/>
      <w:r w:rsidDel="00000000" w:rsidR="00000000" w:rsidRPr="00000000">
        <w:rPr>
          <w:rFonts w:ascii="Times New Roman" w:cs="Times New Roman" w:eastAsia="Times New Roman" w:hAnsi="Times New Roman"/>
          <w:b w:val="1"/>
          <w:bCs w:val="1"/>
          <w:color w:val="2e6e7e"/>
          <w:sz w:val="24"/>
          <w:szCs w:val="24"/>
          <w:rtl w:val="0"/>
        </w:rPr>
        <w:t xml:space="preserve">11.4 Risk register</w:t>
      </w:r>
    </w:p>
    <w:p w:rsidR="00000000" w:rsidDel="00000000" w:rsidP="00000000" w:rsidRDefault="00000000" w:rsidRPr="00000000" w14:paraId="00000211">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(full version in appendix): technical (real documents exceed audited sample messiness) · commercial (contractors discount automated quotes) · organizational (engineer attrition) · legal (mis-specification liability) · vendor/model dependency · data protection · </w:t>
      </w:r>
      <w:r w:rsidDel="00000000" w:rsidR="00000000" w:rsidRPr="00000000">
        <w:rPr>
          <w:rFonts w:ascii="Times New Roman" w:cs="Times New Roman" w:eastAsia="Times New Roman" w:hAnsi="Times New Roman"/>
          <w:b w:val="1"/>
          <w:bCs w:val="1"/>
          <w:sz w:val="24"/>
          <w:szCs w:val="24"/>
          <w:rtl w:val="0"/>
        </w:rPr>
        <w:t xml:space="preserve">model risk (new): </w:t>
      </w:r>
      <w:r w:rsidDel="00000000" w:rsidR="00000000" w:rsidRPr="00000000">
        <w:rPr>
          <w:rFonts w:ascii="Times New Roman" w:cs="Times New Roman" w:eastAsia="Times New Roman" w:hAnsi="Times New Roman"/>
          <w:sz w:val="24"/>
          <w:szCs w:val="24"/>
          <w:rtl w:val="0"/>
        </w:rPr>
        <w:t xml:space="preserve">the simulation itself may be wrong — mitigated by the calibration in 8.2 and the pilot in 11.1. Likelihood × impact × mitigation × owner.</w:t>
      </w:r>
    </w:p>
    <w:p w:rsidR="00000000" w:rsidDel="00000000" w:rsidP="00000000" w:rsidRDefault="00000000" w:rsidRPr="00000000" w14:paraId="00000212">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c9motibgowws" w:id="60"/>
      <w:bookmarkEnd w:id="60"/>
      <w:r w:rsidDel="00000000" w:rsidR="00000000" w:rsidRPr="00000000">
        <w:rPr>
          <w:rFonts w:ascii="Times New Roman" w:cs="Times New Roman" w:eastAsia="Times New Roman" w:hAnsi="Times New Roman"/>
          <w:b w:val="1"/>
          <w:bCs w:val="1"/>
          <w:color w:val="2e6e7e"/>
          <w:sz w:val="24"/>
          <w:szCs w:val="24"/>
          <w:rtl w:val="0"/>
        </w:rPr>
        <w:t xml:space="preserve">11.5 Governance dashboard</w:t>
      </w:r>
    </w:p>
    <w:p w:rsidR="00000000" w:rsidDel="00000000" w:rsidP="00000000" w:rsidRDefault="00000000" w:rsidRPr="00000000" w14:paraId="00000213">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seven KPIs the pilot and any rollout would run on: automation rate, override rate, extraction accuracy, cycle time (median/P90), win rate, margin per quote, error escapes — each with a target trajectory by phase, and each mapped to the simulation output it validates or refutes.</w:t>
      </w:r>
    </w:p>
    <w:p w:rsidR="00000000" w:rsidDel="00000000" w:rsidP="00000000" w:rsidRDefault="00000000" w:rsidRPr="00000000" w14:paraId="00000214">
      <w:pPr>
        <w:pStyle w:val="Heading1"/>
        <w:keepNext w:val="0"/>
        <w:keepLines w:val="0"/>
        <w:spacing w:after="140" w:before="0" w:line="360" w:lineRule="auto"/>
        <w:rPr>
          <w:rFonts w:ascii="Times New Roman" w:cs="Times New Roman" w:eastAsia="Times New Roman" w:hAnsi="Times New Roman"/>
          <w:b w:val="1"/>
          <w:bCs w:val="1"/>
          <w:color w:val="1f4e5f"/>
          <w:sz w:val="24"/>
          <w:szCs w:val="24"/>
        </w:rPr>
      </w:pPr>
      <w:bookmarkStart w:colFirst="0" w:colLast="0" w:name="_gau2r68a9uqg" w:id="61"/>
      <w:bookmarkEnd w:id="61"/>
      <w:r w:rsidDel="00000000" w:rsidR="00000000" w:rsidRPr="00000000">
        <w:rPr>
          <w:rFonts w:ascii="Times New Roman" w:cs="Times New Roman" w:eastAsia="Times New Roman" w:hAnsi="Times New Roman"/>
          <w:b w:val="1"/>
          <w:bCs w:val="1"/>
          <w:color w:val="1f4e5f"/>
          <w:sz w:val="24"/>
          <w:szCs w:val="24"/>
          <w:rtl w:val="0"/>
        </w:rPr>
        <w:t xml:space="preserve">Section 12 — Limitations &amp; Generalizability (0.75 page)</w:t>
      </w:r>
    </w:p>
    <w:p w:rsidR="00000000" w:rsidDel="00000000" w:rsidP="00000000" w:rsidRDefault="00000000" w:rsidRPr="00000000" w14:paraId="00000215">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qvo61p9p1yi1" w:id="62"/>
      <w:bookmarkEnd w:id="62"/>
      <w:r w:rsidDel="00000000" w:rsidR="00000000" w:rsidRPr="00000000">
        <w:rPr>
          <w:rFonts w:ascii="Times New Roman" w:cs="Times New Roman" w:eastAsia="Times New Roman" w:hAnsi="Times New Roman"/>
          <w:b w:val="1"/>
          <w:bCs w:val="1"/>
          <w:color w:val="2e6e7e"/>
          <w:sz w:val="24"/>
          <w:szCs w:val="24"/>
          <w:rtl w:val="0"/>
        </w:rPr>
        <w:t xml:space="preserve">12.1 Limitations</w:t>
      </w:r>
    </w:p>
    <w:p w:rsidR="00000000" w:rsidDel="00000000" w:rsidP="00000000" w:rsidRDefault="00000000" w:rsidRPr="00000000" w14:paraId="00000216">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Stated plainly and without apology: ex-ante study — no implementation evidence; projections rest on a calibrated simulation and an audited sample, not observed performance; stated contractor preferences may differ from revealed behaviour; elasticities triangulated, not experimental; CAD out of scope. Then the turn: </w:t>
      </w:r>
      <w:r w:rsidDel="00000000" w:rsidR="00000000" w:rsidRPr="00000000">
        <w:rPr>
          <w:rFonts w:ascii="Times New Roman" w:cs="Times New Roman" w:eastAsia="Times New Roman" w:hAnsi="Times New Roman"/>
          <w:i w:val="1"/>
          <w:iCs w:val="1"/>
          <w:sz w:val="24"/>
          <w:szCs w:val="24"/>
          <w:rtl w:val="0"/>
        </w:rPr>
        <w:t xml:space="preserve">“These limitations define precisely the evidentiary agenda of the Phase 1 pilot proposed in Section 11.”</w:t>
      </w:r>
      <w:r w:rsidDel="00000000" w:rsidR="00000000" w:rsidRPr="00000000">
        <w:rPr>
          <w:rFonts w:ascii="Times New Roman" w:cs="Times New Roman" w:eastAsia="Times New Roman" w:hAnsi="Times New Roman"/>
          <w:sz w:val="24"/>
          <w:szCs w:val="24"/>
          <w:rtl w:val="0"/>
        </w:rPr>
        <w:t xml:space="preserve"> Limitations that flow into a designed next step read as strength, not weakness.</w:t>
      </w:r>
    </w:p>
    <w:p w:rsidR="00000000" w:rsidDel="00000000" w:rsidP="00000000" w:rsidRDefault="00000000" w:rsidRPr="00000000" w14:paraId="00000217">
      <w:pPr>
        <w:pStyle w:val="Heading2"/>
        <w:keepNext w:val="0"/>
        <w:keepLines w:val="0"/>
        <w:spacing w:after="100" w:before="220" w:line="360" w:lineRule="auto"/>
        <w:rPr>
          <w:rFonts w:ascii="Times New Roman" w:cs="Times New Roman" w:eastAsia="Times New Roman" w:hAnsi="Times New Roman"/>
          <w:b w:val="1"/>
          <w:bCs w:val="1"/>
          <w:color w:val="2e6e7e"/>
          <w:sz w:val="24"/>
          <w:szCs w:val="24"/>
        </w:rPr>
      </w:pPr>
      <w:bookmarkStart w:colFirst="0" w:colLast="0" w:name="_oeeapshuwkug" w:id="63"/>
      <w:bookmarkEnd w:id="63"/>
      <w:r w:rsidDel="00000000" w:rsidR="00000000" w:rsidRPr="00000000">
        <w:rPr>
          <w:rFonts w:ascii="Times New Roman" w:cs="Times New Roman" w:eastAsia="Times New Roman" w:hAnsi="Times New Roman"/>
          <w:b w:val="1"/>
          <w:bCs w:val="1"/>
          <w:color w:val="2e6e7e"/>
          <w:sz w:val="24"/>
          <w:szCs w:val="24"/>
          <w:rtl w:val="0"/>
        </w:rPr>
        <w:t xml:space="preserve">12.2 Generalizability</w:t>
      </w:r>
    </w:p>
    <w:p w:rsidR="00000000" w:rsidDel="00000000" w:rsidP="00000000" w:rsidRDefault="00000000" w:rsidRPr="00000000" w14:paraId="00000218">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pattern (probabilistic intake + deterministic engineering + confidence routing) and the ex-ante evaluation method both generalize to engineered-product distribution (HVAC, valves, switchgear); the specific economics do not. One sentence of discipline.</w:t>
      </w:r>
    </w:p>
    <w:p w:rsidR="00000000" w:rsidDel="00000000" w:rsidP="00000000" w:rsidRDefault="00000000" w:rsidRPr="00000000" w14:paraId="00000219">
      <w:pPr>
        <w:pStyle w:val="Heading1"/>
        <w:keepNext w:val="0"/>
        <w:keepLines w:val="0"/>
        <w:spacing w:after="140" w:before="0" w:line="360" w:lineRule="auto"/>
        <w:rPr>
          <w:rFonts w:ascii="Times New Roman" w:cs="Times New Roman" w:eastAsia="Times New Roman" w:hAnsi="Times New Roman"/>
          <w:b w:val="1"/>
          <w:bCs w:val="1"/>
          <w:color w:val="1f4e5f"/>
          <w:sz w:val="24"/>
          <w:szCs w:val="24"/>
        </w:rPr>
      </w:pPr>
      <w:bookmarkStart w:colFirst="0" w:colLast="0" w:name="_vtuzmhvtwyy" w:id="64"/>
      <w:bookmarkEnd w:id="64"/>
      <w:r w:rsidDel="00000000" w:rsidR="00000000" w:rsidRPr="00000000">
        <w:rPr>
          <w:rFonts w:ascii="Times New Roman" w:cs="Times New Roman" w:eastAsia="Times New Roman" w:hAnsi="Times New Roman"/>
          <w:b w:val="1"/>
          <w:bCs w:val="1"/>
          <w:color w:val="1f4e5f"/>
          <w:sz w:val="24"/>
          <w:szCs w:val="24"/>
          <w:rtl w:val="0"/>
        </w:rPr>
        <w:t xml:space="preserve">Section 13 — Conclusion (1 page)</w:t>
      </w:r>
    </w:p>
    <w:p w:rsidR="00000000" w:rsidDel="00000000" w:rsidP="00000000" w:rsidRDefault="00000000" w:rsidRPr="00000000" w14:paraId="0000021A">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Answer RQ1, RQ2, RQ3 in order, one paragraph each, with the evidence tag visible in the prose (“the audited feasibility range…”, “the simulated P50 NPV…”).</w:t>
      </w:r>
    </w:p>
    <w:p w:rsidR="00000000" w:rsidDel="00000000" w:rsidP="00000000" w:rsidRDefault="00000000" w:rsidRPr="00000000" w14:paraId="0000021B">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State the recommendation exactly as framed in 1.5: a stage-gated pilot investment with explicit kill criteria — a decision under uncertainty, honestly priced.</w:t>
      </w:r>
    </w:p>
    <w:p w:rsidR="00000000" w:rsidDel="00000000" w:rsidP="00000000" w:rsidRDefault="00000000" w:rsidRPr="00000000" w14:paraId="0000021C">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Close on Innovo, in the conditional: </w:t>
      </w:r>
      <w:r w:rsidDel="00000000" w:rsidR="00000000" w:rsidRPr="00000000">
        <w:rPr>
          <w:rFonts w:ascii="Times New Roman" w:cs="Times New Roman" w:eastAsia="Times New Roman" w:hAnsi="Times New Roman"/>
          <w:i w:val="1"/>
          <w:iCs w:val="1"/>
          <w:sz w:val="24"/>
          <w:szCs w:val="24"/>
          <w:rtl w:val="0"/>
        </w:rPr>
        <w:t xml:space="preserve">the same RFQ, one day instead of seven, reviewed by an engineer whose expertise would be trained on the ten hardest projects on her desk rather than the forty easiest — a future this analysis suggests is worth a €X experiment to prove.</w:t>
      </w:r>
      <w:r w:rsidDel="00000000" w:rsidR="00000000" w:rsidRPr="00000000">
        <w:rPr>
          <w:rFonts w:ascii="Times New Roman" w:cs="Times New Roman" w:eastAsia="Times New Roman" w:hAnsi="Times New Roman"/>
          <w:sz w:val="24"/>
          <w:szCs w:val="24"/>
          <w:rtl w:val="0"/>
        </w:rPr>
        <w:t xml:space="preserve"> End the story you opened with.</w:t>
      </w:r>
    </w:p>
    <w:p w:rsidR="00000000" w:rsidDel="00000000" w:rsidP="00000000" w:rsidRDefault="00000000" w:rsidRPr="00000000" w14:paraId="0000021D">
      <w:pPr>
        <w:pStyle w:val="Heading1"/>
        <w:keepNext w:val="0"/>
        <w:keepLines w:val="0"/>
        <w:spacing w:after="140" w:before="0" w:line="360" w:lineRule="auto"/>
        <w:rPr>
          <w:rFonts w:ascii="Times New Roman" w:cs="Times New Roman" w:eastAsia="Times New Roman" w:hAnsi="Times New Roman"/>
          <w:b w:val="1"/>
          <w:bCs w:val="1"/>
          <w:color w:val="1f4e5f"/>
          <w:sz w:val="24"/>
          <w:szCs w:val="24"/>
        </w:rPr>
      </w:pPr>
      <w:bookmarkStart w:colFirst="0" w:colLast="0" w:name="_apprrwbs79vv" w:id="65"/>
      <w:bookmarkEnd w:id="65"/>
      <w:r w:rsidDel="00000000" w:rsidR="00000000" w:rsidRPr="00000000">
        <w:rPr>
          <w:rFonts w:ascii="Times New Roman" w:cs="Times New Roman" w:eastAsia="Times New Roman" w:hAnsi="Times New Roman"/>
          <w:b w:val="1"/>
          <w:bCs w:val="1"/>
          <w:color w:val="1f4e5f"/>
          <w:sz w:val="24"/>
          <w:szCs w:val="24"/>
          <w:rtl w:val="0"/>
        </w:rPr>
        <w:t xml:space="preserve">Appendices (confirm they are excluded from the page count)</w:t>
      </w:r>
    </w:p>
    <w:p w:rsidR="00000000" w:rsidDel="00000000" w:rsidP="00000000" w:rsidRDefault="00000000" w:rsidRPr="00000000" w14:paraId="0000021E">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 Assumptions Register</w:t>
      </w:r>
      <w:r w:rsidDel="00000000" w:rsidR="00000000" w:rsidRPr="00000000">
        <w:rPr>
          <w:rFonts w:ascii="Times New Roman" w:cs="Times New Roman" w:eastAsia="Times New Roman" w:hAnsi="Times New Roman"/>
          <w:sz w:val="24"/>
          <w:szCs w:val="24"/>
          <w:rtl w:val="0"/>
        </w:rPr>
        <w:t xml:space="preserve"> — build before writing anything else; single owner; every number traces here, tagged measured / audited / simulated.</w:t>
      </w:r>
    </w:p>
    <w:p w:rsidR="00000000" w:rsidDel="00000000" w:rsidP="00000000" w:rsidRDefault="00000000" w:rsidRPr="00000000" w14:paraId="0000021F">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 </w:t>
      </w:r>
      <w:r w:rsidDel="00000000" w:rsidR="00000000" w:rsidRPr="00000000">
        <w:rPr>
          <w:rFonts w:ascii="Times New Roman" w:cs="Times New Roman" w:eastAsia="Times New Roman" w:hAnsi="Times New Roman"/>
          <w:sz w:val="24"/>
          <w:szCs w:val="24"/>
          <w:rtl w:val="0"/>
        </w:rPr>
        <w:t xml:space="preserve">Full-size process maps (As-Is / proposed To-Be).</w:t>
      </w:r>
    </w:p>
    <w:p w:rsidR="00000000" w:rsidDel="00000000" w:rsidP="00000000" w:rsidRDefault="00000000" w:rsidRPr="00000000" w14:paraId="00000220">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 </w:t>
      </w:r>
      <w:r w:rsidDel="00000000" w:rsidR="00000000" w:rsidRPr="00000000">
        <w:rPr>
          <w:rFonts w:ascii="Times New Roman" w:cs="Times New Roman" w:eastAsia="Times New Roman" w:hAnsi="Times New Roman"/>
          <w:sz w:val="24"/>
          <w:szCs w:val="24"/>
          <w:rtl w:val="0"/>
        </w:rPr>
        <w:t xml:space="preserve">Financial model — full assumptions, Monte Carlo input distributions, scenario and sensitivity tables.</w:t>
      </w:r>
    </w:p>
    <w:p w:rsidR="00000000" w:rsidDel="00000000" w:rsidP="00000000" w:rsidRDefault="00000000" w:rsidRPr="00000000" w14:paraId="00000221">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 </w:t>
      </w:r>
      <w:r w:rsidDel="00000000" w:rsidR="00000000" w:rsidRPr="00000000">
        <w:rPr>
          <w:rFonts w:ascii="Times New Roman" w:cs="Times New Roman" w:eastAsia="Times New Roman" w:hAnsi="Times New Roman"/>
          <w:sz w:val="24"/>
          <w:szCs w:val="24"/>
          <w:rtl w:val="0"/>
        </w:rPr>
        <w:t xml:space="preserve">Interview guides + anonymized summaries (internal and contractor).</w:t>
      </w:r>
    </w:p>
    <w:p w:rsidR="00000000" w:rsidDel="00000000" w:rsidP="00000000" w:rsidRDefault="00000000" w:rsidRPr="00000000" w14:paraId="00000222">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 </w:t>
      </w:r>
      <w:r w:rsidDel="00000000" w:rsidR="00000000" w:rsidRPr="00000000">
        <w:rPr>
          <w:rFonts w:ascii="Times New Roman" w:cs="Times New Roman" w:eastAsia="Times New Roman" w:hAnsi="Times New Roman"/>
          <w:sz w:val="24"/>
          <w:szCs w:val="24"/>
          <w:rtl w:val="0"/>
        </w:rPr>
        <w:t xml:space="preserve">Feasibility audit protocol, scoring rubric, and full results table (replaces the v2 PoC appendix).</w:t>
      </w:r>
    </w:p>
    <w:p w:rsidR="00000000" w:rsidDel="00000000" w:rsidP="00000000" w:rsidRDefault="00000000" w:rsidRPr="00000000" w14:paraId="00000223">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 </w:t>
      </w:r>
      <w:r w:rsidDel="00000000" w:rsidR="00000000" w:rsidRPr="00000000">
        <w:rPr>
          <w:rFonts w:ascii="Times New Roman" w:cs="Times New Roman" w:eastAsia="Times New Roman" w:hAnsi="Times New Roman"/>
          <w:sz w:val="24"/>
          <w:szCs w:val="24"/>
          <w:rtl w:val="0"/>
        </w:rPr>
        <w:t xml:space="preserve">Process simulation model description, parameters, and calibration results.</w:t>
      </w:r>
    </w:p>
    <w:p w:rsidR="00000000" w:rsidDel="00000000" w:rsidP="00000000" w:rsidRDefault="00000000" w:rsidRPr="00000000" w14:paraId="00000224">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 </w:t>
      </w:r>
      <w:r w:rsidDel="00000000" w:rsidR="00000000" w:rsidRPr="00000000">
        <w:rPr>
          <w:rFonts w:ascii="Times New Roman" w:cs="Times New Roman" w:eastAsia="Times New Roman" w:hAnsi="Times New Roman"/>
          <w:sz w:val="24"/>
          <w:szCs w:val="24"/>
          <w:rtl w:val="0"/>
        </w:rPr>
        <w:t xml:space="preserve">RFQ data schema (proposed) and a worked extraction example, hand-constructed from Innovo.</w:t>
      </w:r>
    </w:p>
    <w:p w:rsidR="00000000" w:rsidDel="00000000" w:rsidP="00000000" w:rsidRDefault="00000000" w:rsidRPr="00000000" w14:paraId="00000225">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 </w:t>
      </w:r>
      <w:r w:rsidDel="00000000" w:rsidR="00000000" w:rsidRPr="00000000">
        <w:rPr>
          <w:rFonts w:ascii="Times New Roman" w:cs="Times New Roman" w:eastAsia="Times New Roman" w:hAnsi="Times New Roman"/>
          <w:sz w:val="24"/>
          <w:szCs w:val="24"/>
          <w:rtl w:val="0"/>
        </w:rPr>
        <w:t xml:space="preserve">Full risk register.</w:t>
      </w:r>
    </w:p>
    <w:p w:rsidR="00000000" w:rsidDel="00000000" w:rsidP="00000000" w:rsidRDefault="00000000" w:rsidRPr="00000000" w14:paraId="00000226">
      <w:pPr>
        <w:spacing w:after="80" w:line="360" w:lineRule="auto"/>
        <w:ind w:left="7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 </w:t>
      </w:r>
      <w:r w:rsidDel="00000000" w:rsidR="00000000" w:rsidRPr="00000000">
        <w:rPr>
          <w:rFonts w:ascii="Times New Roman" w:cs="Times New Roman" w:eastAsia="Times New Roman" w:hAnsi="Times New Roman"/>
          <w:sz w:val="24"/>
          <w:szCs w:val="24"/>
          <w:rtl w:val="0"/>
        </w:rPr>
        <w:t xml:space="preserve">Dual Business Model Canvas, full size.</w:t>
      </w:r>
    </w:p>
    <w:p w:rsidR="00000000" w:rsidDel="00000000" w:rsidP="00000000" w:rsidRDefault="00000000" w:rsidRPr="00000000" w14:paraId="00000227">
      <w:pPr>
        <w:spacing w:after="80" w:line="360" w:lineRule="auto"/>
        <w:ind w:left="700" w:hanging="260"/>
        <w:rPr>
          <w:rFonts w:ascii="Times New Roman" w:cs="Times New Roman" w:eastAsia="Times New Roman" w:hAnsi="Times New Roman"/>
          <w:color w:val="1f4e5f"/>
          <w:sz w:val="24"/>
          <w:szCs w:val="24"/>
        </w:rPr>
      </w:pPr>
      <w:r w:rsidDel="00000000" w:rsidR="00000000" w:rsidRPr="00000000">
        <w:rPr>
          <w:rtl w:val="0"/>
        </w:rPr>
      </w:r>
    </w:p>
    <w:p w:rsidR="00000000" w:rsidDel="00000000" w:rsidP="00000000" w:rsidRDefault="00000000" w:rsidRPr="00000000" w14:paraId="0000022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pStyle w:val="Heading1"/>
        <w:keepNext w:val="0"/>
        <w:keepLines w:val="0"/>
        <w:spacing w:after="140" w:before="300" w:line="360" w:lineRule="auto"/>
        <w:rPr>
          <w:rFonts w:ascii="Times New Roman" w:cs="Times New Roman" w:eastAsia="Times New Roman" w:hAnsi="Times New Roman"/>
          <w:b w:val="1"/>
          <w:bCs w:val="1"/>
          <w:color w:val="1f4e5f"/>
          <w:sz w:val="24"/>
          <w:szCs w:val="24"/>
        </w:rPr>
      </w:pPr>
      <w:bookmarkStart w:colFirst="0" w:colLast="0" w:name="_jx5kbzhdlhlp" w:id="66"/>
      <w:bookmarkEnd w:id="66"/>
      <w:r w:rsidDel="00000000" w:rsidR="00000000" w:rsidRPr="00000000">
        <w:rPr>
          <w:rFonts w:ascii="Times New Roman" w:cs="Times New Roman" w:eastAsia="Times New Roman" w:hAnsi="Times New Roman"/>
          <w:b w:val="1"/>
          <w:bCs w:val="1"/>
          <w:color w:val="1f4e5f"/>
          <w:sz w:val="24"/>
          <w:szCs w:val="24"/>
          <w:rtl w:val="0"/>
        </w:rPr>
        <w:t xml:space="preserve">References cited in section 5</w:t>
      </w:r>
    </w:p>
    <w:p w:rsidR="00000000" w:rsidDel="00000000" w:rsidP="00000000" w:rsidRDefault="00000000" w:rsidRPr="00000000" w14:paraId="0000022A">
      <w:pPr>
        <w:spacing w:after="80" w:line="36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Benjamin, R. and Wigand, R. (1995). Electronic markets and virtual value chains on the information superhighway. Sloan Management Review, 36(2), 62–72.</w:t>
      </w:r>
    </w:p>
    <w:p w:rsidR="00000000" w:rsidDel="00000000" w:rsidP="00000000" w:rsidRDefault="00000000" w:rsidRPr="00000000" w14:paraId="0000022B">
      <w:pPr>
        <w:spacing w:after="80" w:line="36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Chircu, A.M. and Kauffman, R.J. (2000). Reintermediation strategies in business-to-business electronic commerce. International Journal of Electronic Commerce, 4(4), 7–42.</w:t>
      </w:r>
    </w:p>
    <w:p w:rsidR="00000000" w:rsidDel="00000000" w:rsidP="00000000" w:rsidRDefault="00000000" w:rsidRPr="00000000" w14:paraId="0000022C">
      <w:pPr>
        <w:spacing w:after="80" w:line="36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Forza, C. and Salvador, F. (2002). Managing for variety in the order acquisition and fulfilment process: the contribution of product configuration systems. International Journal of Production Economics, 76(1), 87–98.</w:t>
      </w:r>
    </w:p>
    <w:p w:rsidR="00000000" w:rsidDel="00000000" w:rsidP="00000000" w:rsidRDefault="00000000" w:rsidRPr="00000000" w14:paraId="0000022D">
      <w:pPr>
        <w:spacing w:after="80" w:line="36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Forza, C. and Salvador, F. (2007). Product Information Management for Mass Customization. Palgrave Macmillan.</w:t>
      </w:r>
    </w:p>
    <w:p w:rsidR="00000000" w:rsidDel="00000000" w:rsidP="00000000" w:rsidRDefault="00000000" w:rsidRPr="00000000" w14:paraId="0000022E">
      <w:pPr>
        <w:spacing w:after="80" w:line="36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Goddard, K., Roudsari, A. and Wyatt, J.C. (2012). Automation bias: a systematic review of frequency, effect mediators, and mitigators. Journal of the American Medical Informatics Association, 19(1), 121–127.</w:t>
      </w:r>
    </w:p>
    <w:p w:rsidR="00000000" w:rsidDel="00000000" w:rsidP="00000000" w:rsidRDefault="00000000" w:rsidRPr="00000000" w14:paraId="0000022F">
      <w:pPr>
        <w:spacing w:after="80" w:line="36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Hicks, C., McGovern, T. and Earl, C.F. (2000). Supply chain management: a strategic issue in engineer to order manufacturing. International Journal of Production Economics, 65(2), 179–190.</w:t>
      </w:r>
    </w:p>
    <w:p w:rsidR="00000000" w:rsidDel="00000000" w:rsidP="00000000" w:rsidRDefault="00000000" w:rsidRPr="00000000" w14:paraId="00000230">
      <w:pPr>
        <w:spacing w:after="80" w:line="36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Jaume, G., Ekenel, H.K. and Thiran, J.-P. (2019). FUNSD: a dataset for form understanding in noisy scanned documents. ICDAR Workshops.</w:t>
      </w:r>
    </w:p>
    <w:p w:rsidR="00000000" w:rsidDel="00000000" w:rsidP="00000000" w:rsidRDefault="00000000" w:rsidRPr="00000000" w14:paraId="00000231">
      <w:pPr>
        <w:spacing w:after="80" w:line="36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G. et al. (2022). OCR-free document understanding transformer (Donut). European Conference on Computer Vision.</w:t>
      </w:r>
    </w:p>
    <w:p w:rsidR="00000000" w:rsidDel="00000000" w:rsidP="00000000" w:rsidRDefault="00000000" w:rsidRPr="00000000" w14:paraId="00000232">
      <w:pPr>
        <w:spacing w:after="80" w:line="36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Mathew, M., Karatzas, D. and Jawahar, C.V. (2021). DocVQA: a dataset for VQA on document images. IEEE/CVF WACV.</w:t>
      </w:r>
    </w:p>
    <w:p w:rsidR="00000000" w:rsidDel="00000000" w:rsidP="00000000" w:rsidRDefault="00000000" w:rsidRPr="00000000" w14:paraId="00000233">
      <w:pPr>
        <w:spacing w:after="80" w:line="36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Parasuraman, R. and Riley, V. (1997). Humans and automation: use, misuse, disuse, abuse. Human Factors, 39(2), 230–253.</w:t>
      </w:r>
    </w:p>
    <w:p w:rsidR="00000000" w:rsidDel="00000000" w:rsidP="00000000" w:rsidRDefault="00000000" w:rsidRPr="00000000" w14:paraId="00000234">
      <w:pPr>
        <w:spacing w:after="80" w:line="36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Parasuraman, R., Sheridan, T.B. and Wickens, C.D. (2000). A model for types and levels of human interaction with automation. IEEE Transactions on Systems, Man, and Cybernetics — Part A, 30(3), 286–297.</w:t>
      </w:r>
    </w:p>
    <w:p w:rsidR="00000000" w:rsidDel="00000000" w:rsidP="00000000" w:rsidRDefault="00000000" w:rsidRPr="00000000" w14:paraId="00000235">
      <w:pPr>
        <w:spacing w:after="80" w:line="36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Sarkar, M.B., Butler, B. and Steinfield, C. (1995). Intermediaries and cybermediaries: a continuing role for mediating players in the electronic marketplace. Journal of Computer-Mediated Communication, 1(3).</w:t>
      </w:r>
    </w:p>
    <w:p w:rsidR="00000000" w:rsidDel="00000000" w:rsidP="00000000" w:rsidRDefault="00000000" w:rsidRPr="00000000" w14:paraId="00000236">
      <w:pPr>
        <w:spacing w:after="80" w:line="36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Skitka, L.J., Mosier, K.L. and Burdick, M. (1999). Does automation bias decision-making? International Journal of Human-Computer Studies, 51(5), 991–1006.</w:t>
      </w:r>
    </w:p>
    <w:p w:rsidR="00000000" w:rsidDel="00000000" w:rsidP="00000000" w:rsidRDefault="00000000" w:rsidRPr="00000000" w14:paraId="00000237">
      <w:pPr>
        <w:spacing w:after="80" w:line="36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 Y. et al. (2020). LayoutLM: pre-training of text and layout for document image understanding. ACM SIGKDD.</w:t>
      </w:r>
    </w:p>
    <w:p w:rsidR="00000000" w:rsidDel="00000000" w:rsidP="00000000" w:rsidRDefault="00000000" w:rsidRPr="00000000" w14:paraId="00000238">
      <w:pPr>
        <w:spacing w:after="80" w:line="36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enterprise-extraction evaluation work on schema-scale degradation — e.g., ExtractBench (arXiv, 2026) — verify preferred citation and add benchmark comparison sources here.]</w:t>
      </w:r>
    </w:p>
    <w:p w:rsidR="00000000" w:rsidDel="00000000" w:rsidP="00000000" w:rsidRDefault="00000000" w:rsidRPr="00000000" w14:paraId="00000239">
      <w:pPr>
        <w:spacing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