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360" w:lineRule="auto"/>
        <w:rPr/>
      </w:pPr>
      <w:bookmarkStart w:colFirst="0" w:colLast="0" w:name="_bavd11f5or7e" w:id="0"/>
      <w:bookmarkEnd w:id="0"/>
      <w:r w:rsidDel="00000000" w:rsidR="00000000" w:rsidRPr="00000000">
        <w:rPr>
          <w:rtl w:val="0"/>
        </w:rPr>
        <w:t xml:space="preserve">Digital Transformation of the RFQ Process in Commercial Pump Distribution — INSEAD EMBA Final Project</w:t>
      </w:r>
    </w:p>
    <w:p w:rsidR="00000000" w:rsidDel="00000000" w:rsidP="00000000" w:rsidRDefault="00000000" w:rsidRPr="00000000" w14:paraId="00000002">
      <w:pPr>
        <w:pStyle w:val="Heading1"/>
        <w:keepNext w:val="0"/>
        <w:keepLines w:val="0"/>
        <w:spacing w:after="140" w:before="0" w:line="360" w:lineRule="auto"/>
        <w:rPr>
          <w:rFonts w:ascii="Times New Roman" w:cs="Times New Roman" w:eastAsia="Times New Roman" w:hAnsi="Times New Roman"/>
          <w:b w:val="1"/>
          <w:bCs w:val="1"/>
          <w:color w:val="1f4e5f"/>
          <w:sz w:val="24"/>
          <w:szCs w:val="24"/>
        </w:rPr>
      </w:pPr>
      <w:bookmarkStart w:colFirst="0" w:colLast="0" w:name="_13m7eluzi54f" w:id="1"/>
      <w:bookmarkEnd w:id="1"/>
      <w:r w:rsidDel="00000000" w:rsidR="00000000" w:rsidRPr="00000000">
        <w:rPr>
          <w:rFonts w:ascii="Times New Roman" w:cs="Times New Roman" w:eastAsia="Times New Roman" w:hAnsi="Times New Roman"/>
          <w:b w:val="1"/>
          <w:bCs w:val="1"/>
          <w:color w:val="1f4e5f"/>
          <w:sz w:val="24"/>
          <w:szCs w:val="24"/>
          <w:rtl w:val="0"/>
        </w:rPr>
        <w:t xml:space="preserve">Section 1 — Executive Summary</w:t>
      </w:r>
    </w:p>
    <w:p w:rsidR="00000000" w:rsidDel="00000000" w:rsidP="00000000" w:rsidRDefault="00000000" w:rsidRPr="00000000" w14:paraId="00000003">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1.1 </w:t>
      </w:r>
      <w:r w:rsidDel="00000000" w:rsidR="00000000" w:rsidRPr="00000000">
        <w:rPr>
          <w:rFonts w:ascii="Times New Roman" w:cs="Times New Roman" w:eastAsia="Times New Roman" w:hAnsi="Times New Roman"/>
          <w:sz w:val="24"/>
          <w:szCs w:val="24"/>
          <w:rtl w:val="0"/>
        </w:rPr>
        <w:t xml:space="preserve">Problem in one sentence, with the three measured baseline numbers (time, cost, error rate).</w:t>
      </w:r>
    </w:p>
    <w:p w:rsidR="00000000" w:rsidDel="00000000" w:rsidP="00000000" w:rsidRDefault="00000000" w:rsidRPr="00000000" w14:paraId="00000004">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1.2 </w:t>
      </w:r>
      <w:r w:rsidDel="00000000" w:rsidR="00000000" w:rsidRPr="00000000">
        <w:rPr>
          <w:rFonts w:ascii="Times New Roman" w:cs="Times New Roman" w:eastAsia="Times New Roman" w:hAnsi="Times New Roman"/>
          <w:sz w:val="24"/>
          <w:szCs w:val="24"/>
          <w:rtl w:val="0"/>
        </w:rPr>
        <w:t xml:space="preserve">The proposed solution in one sentence, plus the headline feasibility finding (“a structured audit of 30 historical RFQs found X% of extraction fields technically automatable with current document-AI capability; a calibrated process simulation projects median cycle time falling from X days to Y hours”) — evidence-led, but honestly ex-ante.</w:t>
      </w:r>
    </w:p>
    <w:p w:rsidR="00000000" w:rsidDel="00000000" w:rsidP="00000000" w:rsidRDefault="00000000" w:rsidRPr="00000000" w14:paraId="00000005">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1.3 </w:t>
      </w:r>
      <w:r w:rsidDel="00000000" w:rsidR="00000000" w:rsidRPr="00000000">
        <w:rPr>
          <w:rFonts w:ascii="Times New Roman" w:cs="Times New Roman" w:eastAsia="Times New Roman" w:hAnsi="Times New Roman"/>
          <w:sz w:val="24"/>
          <w:szCs w:val="24"/>
          <w:rtl w:val="0"/>
        </w:rPr>
        <w:t xml:space="preserve">Financial headline as a range, not a point: projected NPV (P10 / P50 / P90 from the Monte Carlo in 9.5), payback, and the floor case (“clears the hurdle rate on cost savings alone under conservative assumptions”).</w:t>
      </w:r>
    </w:p>
    <w:p w:rsidR="00000000" w:rsidDel="00000000" w:rsidP="00000000" w:rsidRDefault="00000000" w:rsidRPr="00000000" w14:paraId="00000006">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1.4 </w:t>
      </w:r>
      <w:r w:rsidDel="00000000" w:rsidR="00000000" w:rsidRPr="00000000">
        <w:rPr>
          <w:rFonts w:ascii="Times New Roman" w:cs="Times New Roman" w:eastAsia="Times New Roman" w:hAnsi="Times New Roman"/>
          <w:sz w:val="24"/>
          <w:szCs w:val="24"/>
          <w:rtl w:val="0"/>
        </w:rPr>
        <w:t xml:space="preserve">The strategic claim: transaction data as the distributor’s future moat.</w:t>
      </w:r>
    </w:p>
    <w:p w:rsidR="00000000" w:rsidDel="00000000" w:rsidP="00000000" w:rsidRDefault="00000000" w:rsidRPr="00000000" w14:paraId="00000007">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1.5 </w:t>
      </w:r>
      <w:r w:rsidDel="00000000" w:rsidR="00000000" w:rsidRPr="00000000">
        <w:rPr>
          <w:rFonts w:ascii="Times New Roman" w:cs="Times New Roman" w:eastAsia="Times New Roman" w:hAnsi="Times New Roman"/>
          <w:sz w:val="24"/>
          <w:szCs w:val="24"/>
          <w:rtl w:val="0"/>
        </w:rPr>
        <w:t xml:space="preserve">The actual recommendation — and this framing is critical: not “build the system” but </w:t>
      </w:r>
      <w:r w:rsidDel="00000000" w:rsidR="00000000" w:rsidRPr="00000000">
        <w:rPr>
          <w:rFonts w:ascii="Times New Roman" w:cs="Times New Roman" w:eastAsia="Times New Roman" w:hAnsi="Times New Roman"/>
          <w:b w:val="1"/>
          <w:bCs w:val="1"/>
          <w:sz w:val="24"/>
          <w:szCs w:val="24"/>
          <w:rtl w:val="0"/>
        </w:rPr>
        <w:t xml:space="preserve">“approve a stage-gated pilot investment of € X, with explicit go/no-go criteria at each gate.”</w:t>
      </w:r>
      <w:r w:rsidDel="00000000" w:rsidR="00000000" w:rsidRPr="00000000">
        <w:rPr>
          <w:rFonts w:ascii="Times New Roman" w:cs="Times New Roman" w:eastAsia="Times New Roman" w:hAnsi="Times New Roman"/>
          <w:sz w:val="24"/>
          <w:szCs w:val="24"/>
          <w:rtl w:val="0"/>
        </w:rPr>
        <w:t xml:space="preserve"> An ex-ante paper that recommends a bounded, testable next step is far more credible than one that recommends a rollout.</w:t>
      </w:r>
    </w:p>
    <w:p w:rsidR="00000000" w:rsidDel="00000000" w:rsidP="00000000" w:rsidRDefault="00000000" w:rsidRPr="00000000" w14:paraId="00000008">
      <w:pPr>
        <w:pStyle w:val="Heading1"/>
        <w:keepNext w:val="0"/>
        <w:keepLines w:val="0"/>
        <w:spacing w:after="140" w:before="0" w:line="360" w:lineRule="auto"/>
        <w:rPr>
          <w:rFonts w:ascii="Times New Roman" w:cs="Times New Roman" w:eastAsia="Times New Roman" w:hAnsi="Times New Roman"/>
          <w:b w:val="1"/>
          <w:bCs w:val="1"/>
          <w:color w:val="1f4e5f"/>
          <w:sz w:val="24"/>
          <w:szCs w:val="24"/>
        </w:rPr>
      </w:pPr>
      <w:bookmarkStart w:colFirst="0" w:colLast="0" w:name="_4h38woxemizp" w:id="2"/>
      <w:bookmarkEnd w:id="2"/>
      <w:r w:rsidDel="00000000" w:rsidR="00000000" w:rsidRPr="00000000">
        <w:rPr>
          <w:rFonts w:ascii="Times New Roman" w:cs="Times New Roman" w:eastAsia="Times New Roman" w:hAnsi="Times New Roman"/>
          <w:b w:val="1"/>
          <w:bCs w:val="1"/>
          <w:color w:val="1f4e5f"/>
          <w:sz w:val="24"/>
          <w:szCs w:val="24"/>
          <w:rtl w:val="0"/>
        </w:rPr>
        <w:t xml:space="preserve">Section 2 — Introduction &amp; Problem Definition</w:t>
      </w:r>
      <w:r w:rsidDel="00000000" w:rsidR="00000000" w:rsidRPr="00000000">
        <w:rPr>
          <w:rtl w:val="0"/>
        </w:rPr>
      </w:r>
    </w:p>
    <w:p w:rsidR="00000000" w:rsidDel="00000000" w:rsidP="00000000" w:rsidRDefault="00000000" w:rsidRPr="00000000" w14:paraId="00000009">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831zgvqftfk5" w:id="3"/>
      <w:bookmarkEnd w:id="3"/>
      <w:r w:rsidDel="00000000" w:rsidR="00000000" w:rsidRPr="00000000">
        <w:rPr>
          <w:rFonts w:ascii="Times New Roman" w:cs="Times New Roman" w:eastAsia="Times New Roman" w:hAnsi="Times New Roman"/>
          <w:b w:val="1"/>
          <w:bCs w:val="1"/>
          <w:color w:val="2e6e7e"/>
          <w:sz w:val="24"/>
          <w:szCs w:val="24"/>
          <w:rtl w:val="0"/>
        </w:rPr>
        <w:t xml:space="preserve">2.0 Opening vignette</w:t>
      </w:r>
      <w:r w:rsidDel="00000000" w:rsidR="00000000" w:rsidRPr="00000000">
        <w:rPr>
          <w:rtl w:val="0"/>
        </w:rPr>
      </w:r>
    </w:p>
    <w:p w:rsidR="00000000" w:rsidDel="00000000" w:rsidP="00000000" w:rsidRDefault="00000000" w:rsidRPr="00000000" w14:paraId="000000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RFQ from Innovo Contracting for the Guggenheim Abu Dhabi lands at M.A.H.Y. Khoory's Abu Dhabi branch on a Thursday evening around 16:30: roughly 75 pumps across five applications, from booster sets to chilled water, with the quote due the following Tuesday. Khoory is competing against Grundfos, Xylem, Wilo and Lowara — and against at least one other distributor quoting the same Grundfos range it carries — so the job will be won or lost on price and speed of response as much as on brand.</w:t>
      </w:r>
    </w:p>
    <w:p w:rsidR="00000000" w:rsidDel="00000000" w:rsidP="00000000" w:rsidRDefault="00000000" w:rsidRPr="00000000" w14:paraId="0000000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properly — every schedule and specification read, head losses calculated for each application, every selection run through the manufacturer software — an inquiry this size is close to twenty-eight hours of estimating work, and the branch has two estimators. Line managers bring both in over the weekend on overtime and borrow a third from another desk. It is not enough. Tuesday comes and the quotation is not ready.</w:t>
      </w:r>
    </w:p>
    <w:p w:rsidR="00000000" w:rsidDel="00000000" w:rsidP="00000000" w:rsidRDefault="00000000" w:rsidRPr="00000000" w14:paraId="0000000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quote goes out two days late, seven calendar days after receipt. Innovo's senior management escalates to Khoory's leadership, and a face-to-face meeting is needed to settle the relationship. Khoory ultimately wins the project — but not on the strength of this quotation, and the paper returns to what that near-failure cost and why it keeps happening.</w:t>
      </w:r>
    </w:p>
    <w:p w:rsidR="00000000" w:rsidDel="00000000" w:rsidP="00000000" w:rsidRDefault="00000000" w:rsidRPr="00000000" w14:paraId="0000000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3xmxdnp9kqzd" w:id="4"/>
      <w:bookmarkEnd w:id="4"/>
      <w:r w:rsidDel="00000000" w:rsidR="00000000" w:rsidRPr="00000000">
        <w:rPr>
          <w:rFonts w:ascii="Times New Roman" w:cs="Times New Roman" w:eastAsia="Times New Roman" w:hAnsi="Times New Roman"/>
          <w:b w:val="1"/>
          <w:bCs w:val="1"/>
          <w:color w:val="2e6e7e"/>
          <w:sz w:val="24"/>
          <w:szCs w:val="24"/>
          <w:rtl w:val="0"/>
        </w:rPr>
        <w:t xml:space="preserve">2.1 Industry context</w:t>
      </w:r>
    </w:p>
    <w:p w:rsidR="00000000" w:rsidDel="00000000" w:rsidP="00000000" w:rsidRDefault="00000000" w:rsidRPr="00000000" w14:paraId="0000001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distributor exists in this chain because the manufacturer cannot do what the distributor does — not economically, often not at all — and the first and costliest of its functions is technical expertise. Every RFQ means reading consultant specifications, CAD files and drawings, extracting flow, head and efficiency requirements, running head-loss calculations, and working out which model across a manufacturer's full range actually fits the site; for unusual applications it means going back to the manufacturer for a special quote before pricing the contractor. A multinational manufacturer selling into dozens of regions cannot build that regional depth itself. It is exactly this function that nearly failed under pressure in the Innovo inquiry.</w:t>
      </w:r>
      <w:r w:rsidDel="00000000" w:rsidR="00000000" w:rsidRPr="00000000">
        <w:rPr>
          <w:rtl w:val="0"/>
        </w:rPr>
      </w:r>
    </w:p>
    <w:p w:rsidR="00000000" w:rsidDel="00000000" w:rsidP="00000000" w:rsidRDefault="00000000" w:rsidRPr="00000000" w14:paraId="0000001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function is credit: rather than extend project-linked payment terms, bank guarantees and retentions to dozens of individual contractors, the manufacturer works through one distributor and lets it carry the market and the credit risk.</w:t>
      </w:r>
    </w:p>
    <w:p w:rsidR="00000000" w:rsidDel="00000000" w:rsidP="00000000" w:rsidRDefault="00000000" w:rsidRPr="00000000" w14:paraId="0000001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is local presence — testing, commissioning and warranty support from a party the contractor can actually reach when something goes wrong.</w:t>
      </w:r>
    </w:p>
    <w:p w:rsidR="00000000" w:rsidDel="00000000" w:rsidP="00000000" w:rsidRDefault="00000000" w:rsidRPr="00000000" w14:paraId="00000015">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these functions is under pressure from digitization, and this paper examines what happens when the most defensible of them becomes automatable. Credit and local presence are largely fixed costs of being in the market; technical expertise is not — it needs trained estimators and hours of manual work per inquiry, and it scales directly with volume and complexity. The question the paper pursues is whether the reading, the calculations and the model selection can be digitized without losing the judgment that makes them valuable. </w:t>
      </w:r>
    </w:p>
    <w:p w:rsidR="00000000" w:rsidDel="00000000" w:rsidP="00000000" w:rsidRDefault="00000000" w:rsidRPr="00000000" w14:paraId="00000016">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mji9a1smiuen" w:id="5"/>
      <w:bookmarkEnd w:id="5"/>
      <w:r w:rsidDel="00000000" w:rsidR="00000000" w:rsidRPr="00000000">
        <w:rPr>
          <w:rFonts w:ascii="Times New Roman" w:cs="Times New Roman" w:eastAsia="Times New Roman" w:hAnsi="Times New Roman"/>
          <w:b w:val="1"/>
          <w:bCs w:val="1"/>
          <w:color w:val="2e6e7e"/>
          <w:sz w:val="24"/>
          <w:szCs w:val="24"/>
          <w:rtl w:val="0"/>
        </w:rPr>
        <w:t xml:space="preserve">2.2 Problem decomposition</w:t>
      </w:r>
    </w:p>
    <w:p w:rsidR="00000000" w:rsidDel="00000000" w:rsidP="00000000" w:rsidRDefault="00000000" w:rsidRPr="00000000" w14:paraId="00000018">
      <w:pPr>
        <w:spacing w:after="80" w:line="360" w:lineRule="auto"/>
        <w:ind w:left="700" w:hanging="2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Speed.</w:t>
      </w:r>
      <w:r w:rsidDel="00000000" w:rsidR="00000000" w:rsidRPr="00000000">
        <w:rPr>
          <w:rFonts w:ascii="Times New Roman" w:cs="Times New Roman" w:eastAsia="Times New Roman" w:hAnsi="Times New Roman"/>
          <w:sz w:val="24"/>
          <w:szCs w:val="24"/>
          <w:rtl w:val="0"/>
        </w:rPr>
        <w:t xml:space="preserve"> A standard inquiry — three to twelve pumps across one or two applications — takes an estimator around five and a half hours of concentrated work: reading the specification and CAD files, running head loss calculations, selecting the model, and pricing it. The largest inquiries — several dozen pumps across multiple applications; the Innovo package ran to seventy-five — demand twenty-five to thirty hours of estimating effort and require pulling multiple estimators simultaneously, against deadlines sometimes as tight as two to three days. These large inquiries arrive roughly once a month but cannot be staffed as if routine. Timing costs real business: an estimated 15% of tenders are lost specifically to late or rushed quotes (E, sales and management interviews; treated as an upper bound and triangulated in 9.3) — concentrated among first-time customers with no relationship to buy patience, and fast-track projects landing while the team is already stretched.</w:t>
      </w:r>
    </w:p>
    <w:p w:rsidR="00000000" w:rsidDel="00000000" w:rsidP="00000000" w:rsidRDefault="00000000" w:rsidRPr="00000000" w14:paraId="000000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w:t>
      </w:r>
      <w:r w:rsidDel="00000000" w:rsidR="00000000" w:rsidRPr="00000000">
        <w:rPr>
          <w:rFonts w:ascii="Times New Roman" w:cs="Times New Roman" w:eastAsia="Times New Roman" w:hAnsi="Times New Roman"/>
          <w:sz w:val="24"/>
          <w:szCs w:val="24"/>
          <w:rtl w:val="0"/>
        </w:rPr>
        <w:t xml:space="preserve"> Khoory carries 16 estimators across all branches, each handling roughly 12 RFQs a week across the company's full product range. A fully loaded estimator costs the business approximately €22,000 a year. Hiring a qualified replacement takes two to three months, and a further three to four months before they are fully productive. Estimator capacity is therefore a hard constraint rather than a soft one: it directly determines how fast the business can take on new sales and new customers, independent of demand.</w:t>
      </w:r>
    </w:p>
    <w:p w:rsidR="00000000" w:rsidDel="00000000" w:rsidP="00000000" w:rsidRDefault="00000000" w:rsidRPr="00000000" w14:paraId="0000001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Quality.</w:t>
      </w:r>
      <w:r w:rsidDel="00000000" w:rsidR="00000000" w:rsidRPr="00000000">
        <w:rPr>
          <w:rFonts w:ascii="Times New Roman" w:cs="Times New Roman" w:eastAsia="Times New Roman" w:hAnsi="Times New Roman"/>
          <w:sz w:val="24"/>
          <w:szCs w:val="24"/>
          <w:rtl w:val="0"/>
        </w:rPr>
        <w:t xml:space="preserve"> Errors are not rare. Across the 2025 quotation audit, roughly one standard inquiry in nine went out containing at least one defect — a wrong model, a wrong price, or a missed specification requirement — rising to one in five on the largest, most valuable work. The full error taxonomy and its cost consequences are developed in Section 4.4.</w:t>
      </w:r>
    </w:p>
    <w:p w:rsidR="00000000" w:rsidDel="00000000" w:rsidP="00000000" w:rsidRDefault="00000000" w:rsidRPr="00000000" w14:paraId="0000001C">
      <w:pPr>
        <w:spacing w:after="80" w:line="360" w:lineRule="auto"/>
        <w:ind w:left="700" w:hanging="2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4hk5hujkkzf9" w:id="6"/>
      <w:bookmarkEnd w:id="6"/>
      <w:r w:rsidDel="00000000" w:rsidR="00000000" w:rsidRPr="00000000">
        <w:rPr>
          <w:rFonts w:ascii="Times New Roman" w:cs="Times New Roman" w:eastAsia="Times New Roman" w:hAnsi="Times New Roman"/>
          <w:b w:val="1"/>
          <w:bCs w:val="1"/>
          <w:color w:val="2e6e7e"/>
          <w:sz w:val="24"/>
          <w:szCs w:val="24"/>
          <w:rtl w:val="0"/>
        </w:rPr>
        <w:t xml:space="preserve">2.3 Research questions</w:t>
      </w:r>
      <w:r w:rsidDel="00000000" w:rsidR="00000000" w:rsidRPr="00000000">
        <w:rPr>
          <w:rtl w:val="0"/>
        </w:rPr>
      </w:r>
    </w:p>
    <w:p w:rsidR="00000000" w:rsidDel="00000000" w:rsidP="00000000" w:rsidRDefault="00000000" w:rsidRPr="00000000" w14:paraId="0000001E">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RQ1: </w:t>
      </w:r>
      <w:r w:rsidDel="00000000" w:rsidR="00000000" w:rsidRPr="00000000">
        <w:rPr>
          <w:rFonts w:ascii="Times New Roman" w:cs="Times New Roman" w:eastAsia="Times New Roman" w:hAnsi="Times New Roman"/>
          <w:sz w:val="24"/>
          <w:szCs w:val="24"/>
          <w:rtl w:val="0"/>
        </w:rPr>
        <w:t xml:space="preserve">What process architecture could automate the RFQ process while preserving quote quality, and what evidence supports its technical feasibility?</w:t>
      </w:r>
    </w:p>
    <w:p w:rsidR="00000000" w:rsidDel="00000000" w:rsidP="00000000" w:rsidRDefault="00000000" w:rsidRPr="00000000" w14:paraId="0000001F">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RQ2: </w:t>
      </w:r>
      <w:r w:rsidDel="00000000" w:rsidR="00000000" w:rsidRPr="00000000">
        <w:rPr>
          <w:rFonts w:ascii="Times New Roman" w:cs="Times New Roman" w:eastAsia="Times New Roman" w:hAnsi="Times New Roman"/>
          <w:sz w:val="24"/>
          <w:szCs w:val="24"/>
          <w:rtl w:val="0"/>
        </w:rPr>
        <w:t xml:space="preserve">What is the projected financial impact of the proposed transformation, and how robust is that projection under uncertainty?</w:t>
      </w:r>
    </w:p>
    <w:p w:rsidR="00000000" w:rsidDel="00000000" w:rsidP="00000000" w:rsidRDefault="00000000" w:rsidRPr="00000000" w14:paraId="00000020">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RQ3: </w:t>
      </w:r>
      <w:r w:rsidDel="00000000" w:rsidR="00000000" w:rsidRPr="00000000">
        <w:rPr>
          <w:rFonts w:ascii="Times New Roman" w:cs="Times New Roman" w:eastAsia="Times New Roman" w:hAnsi="Times New Roman"/>
          <w:sz w:val="24"/>
          <w:szCs w:val="24"/>
          <w:rtl w:val="0"/>
        </w:rPr>
        <w:t xml:space="preserve">What are the strategic implications for the distributor’s position in the value chain, and what implementation path best manages the risks?</w:t>
      </w:r>
      <w:r w:rsidDel="00000000" w:rsidR="00000000" w:rsidRPr="00000000">
        <w:rPr>
          <w:rtl w:val="0"/>
        </w:rPr>
      </w:r>
    </w:p>
    <w:p w:rsidR="00000000" w:rsidDel="00000000" w:rsidP="00000000" w:rsidRDefault="00000000" w:rsidRPr="00000000" w14:paraId="00000021">
      <w:pPr>
        <w:spacing w:after="80" w:line="360" w:lineRule="auto"/>
        <w:ind w:left="700" w:hanging="2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 turnaround, hard capacity constraints and error rates that erode margin and trust are all downstream of one question: whether the distributor's technical-expertise function can be automated without losing the judgment that makes it valuable. Three research questions address it — RQ1 in Sections 6 through 8, RQ2 in Section 9, RQ3 in Sections 10 and 11.</w:t>
      </w:r>
    </w:p>
    <w:p w:rsidR="00000000" w:rsidDel="00000000" w:rsidP="00000000" w:rsidRDefault="00000000" w:rsidRPr="00000000" w14:paraId="00000023">
      <w:pPr>
        <w:spacing w:after="80" w:line="360" w:lineRule="auto"/>
        <w:ind w:left="700" w:hanging="2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n0hae1wga9to" w:id="7"/>
      <w:bookmarkEnd w:id="7"/>
      <w:r w:rsidDel="00000000" w:rsidR="00000000" w:rsidRPr="00000000">
        <w:rPr>
          <w:rFonts w:ascii="Times New Roman" w:cs="Times New Roman" w:eastAsia="Times New Roman" w:hAnsi="Times New Roman"/>
          <w:b w:val="1"/>
          <w:bCs w:val="1"/>
          <w:color w:val="2e6e7e"/>
          <w:sz w:val="24"/>
          <w:szCs w:val="24"/>
          <w:rtl w:val="0"/>
        </w:rPr>
        <w:t xml:space="preserve">2.4 Scope</w:t>
      </w:r>
    </w:p>
    <w:p w:rsidR="00000000" w:rsidDel="00000000" w:rsidP="00000000" w:rsidRDefault="00000000" w:rsidRPr="00000000" w14:paraId="00000025">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w:t>
      </w:r>
      <w:r w:rsidDel="00000000" w:rsidR="00000000" w:rsidRPr="00000000">
        <w:rPr>
          <w:rFonts w:ascii="Times New Roman" w:cs="Times New Roman" w:eastAsia="Times New Roman" w:hAnsi="Times New Roman"/>
          <w:sz w:val="24"/>
          <w:szCs w:val="24"/>
          <w:rtl w:val="0"/>
        </w:rPr>
        <w:t xml:space="preserve"> The scope is limited to pumps, where the technical selection burden is heaviest and the case for automation strongest; valves, HVAC and Khoory's other product lines are excluded, though they are the natural extension once the pump-focused system is proven.</w:t>
      </w:r>
      <w:r w:rsidDel="00000000" w:rsidR="00000000" w:rsidRPr="00000000">
        <w:rPr>
          <w:rtl w:val="0"/>
        </w:rPr>
      </w:r>
    </w:p>
    <w:p w:rsidR="00000000" w:rsidDel="00000000" w:rsidP="00000000" w:rsidRDefault="00000000" w:rsidRPr="00000000" w14:paraId="0000002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Geography.</w:t>
      </w:r>
      <w:r w:rsidDel="00000000" w:rsidR="00000000" w:rsidRPr="00000000">
        <w:rPr>
          <w:rFonts w:ascii="Times New Roman" w:cs="Times New Roman" w:eastAsia="Times New Roman" w:hAnsi="Times New Roman"/>
          <w:sz w:val="24"/>
          <w:szCs w:val="24"/>
          <w:rtl w:val="0"/>
        </w:rPr>
        <w:t xml:space="preserve"> The UAE only, where the volume and the pain are concentrated today; GCC expansion is a near-term next step, since specifications and practices across the region closely mirror the UAE market.</w:t>
      </w:r>
      <w:r w:rsidDel="00000000" w:rsidR="00000000" w:rsidRPr="00000000">
        <w:rPr>
          <w:rtl w:val="0"/>
        </w:rPr>
      </w:r>
    </w:p>
    <w:p w:rsidR="00000000" w:rsidDel="00000000" w:rsidP="00000000" w:rsidRDefault="00000000" w:rsidRPr="00000000" w14:paraId="0000002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The technical workflow from RFQ receipt through quote generation, plus the submittal stage once a project is won. The commercial negotiation between quote and LOI is excluded deliberately: the paper automates the distributor's technical-judgment function, not its deal-making.</w:t>
      </w:r>
      <w:r w:rsidDel="00000000" w:rsidR="00000000" w:rsidRPr="00000000">
        <w:rPr>
          <w:rtl w:val="0"/>
        </w:rPr>
      </w:r>
    </w:p>
    <w:p w:rsidR="00000000" w:rsidDel="00000000" w:rsidP="00000000" w:rsidRDefault="00000000" w:rsidRPr="00000000" w14:paraId="000000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Depth of evaluation.</w:t>
      </w:r>
      <w:r w:rsidDel="00000000" w:rsidR="00000000" w:rsidRPr="00000000">
        <w:rPr>
          <w:rFonts w:ascii="Times New Roman" w:cs="Times New Roman" w:eastAsia="Times New Roman" w:hAnsi="Times New Roman"/>
          <w:sz w:val="24"/>
          <w:szCs w:val="24"/>
          <w:rtl w:val="0"/>
        </w:rPr>
        <w:t xml:space="preserve"> This is an ex-ante study: no software has been built and no pilot run. The analysis rests on a calibrated simulation of the current process, an audited feasibility assessment, and a financial projection under uncertainty (Sections 6–9); a live pilot is recommended, not conducted (Section 11).</w:t>
      </w:r>
      <w:r w:rsidDel="00000000" w:rsidR="00000000" w:rsidRPr="00000000">
        <w:rPr>
          <w:rtl w:val="0"/>
        </w:rPr>
      </w:r>
    </w:p>
    <w:p w:rsidR="00000000" w:rsidDel="00000000" w:rsidP="00000000" w:rsidRDefault="00000000" w:rsidRPr="00000000" w14:paraId="0000002A">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Style w:val="Heading1"/>
        <w:spacing w:after="100" w:line="360" w:lineRule="auto"/>
        <w:rPr/>
      </w:pPr>
      <w:bookmarkStart w:colFirst="0" w:colLast="0" w:name="_nsqfo9xwx3z6" w:id="8"/>
      <w:bookmarkEnd w:id="8"/>
      <w:r w:rsidDel="00000000" w:rsidR="00000000" w:rsidRPr="00000000">
        <w:rPr>
          <w:rtl w:val="0"/>
        </w:rPr>
        <w:t xml:space="preserve">Section 3 — Methodology: An Ex-Ante Evaluation Design</w:t>
      </w:r>
    </w:p>
    <w:p w:rsidR="00000000" w:rsidDel="00000000" w:rsidP="00000000" w:rsidRDefault="00000000" w:rsidRPr="00000000" w14:paraId="0000002C">
      <w:pPr>
        <w:pStyle w:val="Heading2"/>
        <w:keepNext w:val="0"/>
        <w:keepLines w:val="0"/>
        <w:spacing w:after="140" w:before="300" w:line="360" w:lineRule="auto"/>
        <w:rPr/>
      </w:pPr>
      <w:bookmarkStart w:colFirst="0" w:colLast="0" w:name="_sn3b7aqgziw" w:id="9"/>
      <w:bookmarkEnd w:id="9"/>
      <w:r w:rsidDel="00000000" w:rsidR="00000000" w:rsidRPr="00000000">
        <w:rPr>
          <w:rtl w:val="0"/>
        </w:rPr>
        <w:t xml:space="preserve">3.1 Research design</w:t>
      </w:r>
    </w:p>
    <w:p w:rsidR="00000000" w:rsidDel="00000000" w:rsidP="00000000" w:rsidRDefault="00000000" w:rsidRPr="00000000" w14:paraId="0000002D">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a prospective — ex-ante — evaluation of a proposed process transformation. Nothing described in Sections 6 through 8 has been built, and the paper claims otherwise nowhere. Its claim is narrower: that the transformation can be evaluated to a decision-grade standard before a line of code exists, with the discipline applied to any capital investment — measure the current state, design the alternative from established components, model its behaviour, and subject the assumptions to structured challenge.</w:t>
      </w:r>
      <w:r w:rsidDel="00000000" w:rsidR="00000000" w:rsidRPr="00000000">
        <w:rPr>
          <w:rtl w:val="0"/>
        </w:rPr>
      </w:r>
    </w:p>
    <w:p w:rsidR="00000000" w:rsidDel="00000000" w:rsidP="00000000" w:rsidRDefault="00000000" w:rsidRPr="00000000" w14:paraId="0000002E">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components carry the evaluation: an </w:t>
      </w:r>
      <w:r w:rsidDel="00000000" w:rsidR="00000000" w:rsidRPr="00000000">
        <w:rPr>
          <w:rFonts w:ascii="Times New Roman" w:cs="Times New Roman" w:eastAsia="Times New Roman" w:hAnsi="Times New Roman"/>
          <w:b w:val="1"/>
          <w:bCs w:val="1"/>
          <w:sz w:val="24"/>
          <w:szCs w:val="24"/>
          <w:rtl w:val="0"/>
        </w:rPr>
        <w:t xml:space="preserve">empirical baseline</w:t>
      </w:r>
      <w:r w:rsidDel="00000000" w:rsidR="00000000" w:rsidRPr="00000000">
        <w:rPr>
          <w:rFonts w:ascii="Times New Roman" w:cs="Times New Roman" w:eastAsia="Times New Roman" w:hAnsi="Times New Roman"/>
          <w:sz w:val="24"/>
          <w:szCs w:val="24"/>
          <w:rtl w:val="0"/>
        </w:rPr>
        <w:t xml:space="preserve"> of the current quoting process, measured rather than recalled (Section 4); a </w:t>
      </w:r>
      <w:r w:rsidDel="00000000" w:rsidR="00000000" w:rsidRPr="00000000">
        <w:rPr>
          <w:rFonts w:ascii="Times New Roman" w:cs="Times New Roman" w:eastAsia="Times New Roman" w:hAnsi="Times New Roman"/>
          <w:b w:val="1"/>
          <w:bCs w:val="1"/>
          <w:sz w:val="24"/>
          <w:szCs w:val="24"/>
          <w:rtl w:val="0"/>
        </w:rPr>
        <w:t xml:space="preserve">design synthesis</w:t>
      </w:r>
      <w:r w:rsidDel="00000000" w:rsidR="00000000" w:rsidRPr="00000000">
        <w:rPr>
          <w:rFonts w:ascii="Times New Roman" w:cs="Times New Roman" w:eastAsia="Times New Roman" w:hAnsi="Times New Roman"/>
          <w:sz w:val="24"/>
          <w:szCs w:val="24"/>
          <w:rtl w:val="0"/>
        </w:rPr>
        <w:t xml:space="preserve"> assembled from components whose individual behaviour is documented, so that the novelty lies in the assembly rather than in any unproven part (Section 7); a </w:t>
      </w:r>
      <w:r w:rsidDel="00000000" w:rsidR="00000000" w:rsidRPr="00000000">
        <w:rPr>
          <w:rFonts w:ascii="Times New Roman" w:cs="Times New Roman" w:eastAsia="Times New Roman" w:hAnsi="Times New Roman"/>
          <w:b w:val="1"/>
          <w:bCs w:val="1"/>
          <w:sz w:val="24"/>
          <w:szCs w:val="24"/>
          <w:rtl w:val="0"/>
        </w:rPr>
        <w:t xml:space="preserve">simulation of the future state</w:t>
      </w:r>
      <w:r w:rsidDel="00000000" w:rsidR="00000000" w:rsidRPr="00000000">
        <w:rPr>
          <w:rFonts w:ascii="Times New Roman" w:cs="Times New Roman" w:eastAsia="Times New Roman" w:hAnsi="Times New Roman"/>
          <w:sz w:val="24"/>
          <w:szCs w:val="24"/>
          <w:rtl w:val="0"/>
        </w:rPr>
        <w:t xml:space="preserve"> — a process model for cycle time and capacity, and a financial model that converts its outputs into a probabilistic investment case (Sections 8 and 9); and </w:t>
      </w:r>
      <w:r w:rsidDel="00000000" w:rsidR="00000000" w:rsidRPr="00000000">
        <w:rPr>
          <w:rFonts w:ascii="Times New Roman" w:cs="Times New Roman" w:eastAsia="Times New Roman" w:hAnsi="Times New Roman"/>
          <w:b w:val="1"/>
          <w:bCs w:val="1"/>
          <w:sz w:val="24"/>
          <w:szCs w:val="24"/>
          <w:rtl w:val="0"/>
        </w:rPr>
        <w:t xml:space="preserve">expert and customer validation</w:t>
      </w:r>
      <w:r w:rsidDel="00000000" w:rsidR="00000000" w:rsidRPr="00000000">
        <w:rPr>
          <w:rFonts w:ascii="Times New Roman" w:cs="Times New Roman" w:eastAsia="Times New Roman" w:hAnsi="Times New Roman"/>
          <w:sz w:val="24"/>
          <w:szCs w:val="24"/>
          <w:rtl w:val="0"/>
        </w:rPr>
        <w:t xml:space="preserve">, in which the estimators and contractors are used not as sources of enthusiasm but as adversaries of the design's assumptions (8.1, 8.3, 4.6).</w:t>
      </w:r>
    </w:p>
    <w:p w:rsidR="00000000" w:rsidDel="00000000" w:rsidP="00000000" w:rsidRDefault="00000000" w:rsidRPr="00000000" w14:paraId="0000002F">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scoping statement belongs here because every number downstream depends on it. Khoory operates 16 estimators across its UAE branches, each handling on the order of twelve inquiries a week across all the product lines the company distributes. The empirical baseline of Section 4 was measured at a single branch — [the Abu Dhabi estimation office] — whose 640 pump RFQs in 2025 constitute the study population, the slice of that workload within this paper's product scope; company-wide figures appear only where Section 9 scales the branch-level findings, and are labelled as such when they do. Measuring one branch deeply was preferred to measuring all branches thinly: the simulation of Section 8 needs step-level timings that only observation can supply, and observation does not spread.</w:t>
      </w:r>
    </w:p>
    <w:p w:rsidR="00000000" w:rsidDel="00000000" w:rsidP="00000000" w:rsidRDefault="00000000" w:rsidRPr="00000000" w14:paraId="00000030">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quantitative claim in the paper carries one of three tags, used without exception. </w:t>
      </w:r>
      <w:r w:rsidDel="00000000" w:rsidR="00000000" w:rsidRPr="00000000">
        <w:rPr>
          <w:rFonts w:ascii="Times New Roman" w:cs="Times New Roman" w:eastAsia="Times New Roman" w:hAnsi="Times New Roman"/>
          <w:b w:val="1"/>
          <w:bCs w:val="1"/>
          <w:sz w:val="24"/>
          <w:szCs w:val="24"/>
          <w:rtl w:val="0"/>
        </w:rPr>
        <w:t xml:space="preserve">Measured</w:t>
      </w:r>
      <w:r w:rsidDel="00000000" w:rsidR="00000000" w:rsidRPr="00000000">
        <w:rPr>
          <w:rFonts w:ascii="Times New Roman" w:cs="Times New Roman" w:eastAsia="Times New Roman" w:hAnsi="Times New Roman"/>
          <w:sz w:val="24"/>
          <w:szCs w:val="24"/>
          <w:rtl w:val="0"/>
        </w:rPr>
        <w:t xml:space="preserve"> means read directly from records or timestamped observation. </w:t>
      </w:r>
      <w:r w:rsidDel="00000000" w:rsidR="00000000" w:rsidRPr="00000000">
        <w:rPr>
          <w:rFonts w:ascii="Times New Roman" w:cs="Times New Roman" w:eastAsia="Times New Roman" w:hAnsi="Times New Roman"/>
          <w:b w:val="1"/>
          <w:bCs w:val="1"/>
          <w:sz w:val="24"/>
          <w:szCs w:val="24"/>
          <w:rtl w:val="0"/>
        </w:rPr>
        <w:t xml:space="preserve">Audited</w:t>
      </w:r>
      <w:r w:rsidDel="00000000" w:rsidR="00000000" w:rsidRPr="00000000">
        <w:rPr>
          <w:rFonts w:ascii="Times New Roman" w:cs="Times New Roman" w:eastAsia="Times New Roman" w:hAnsi="Times New Roman"/>
          <w:sz w:val="24"/>
          <w:szCs w:val="24"/>
          <w:rtl w:val="0"/>
        </w:rPr>
        <w:t xml:space="preserve"> means produced by the structured feasibility study of 8.1, scored by estimators against a written rubric on real historical documents. </w:t>
      </w:r>
      <w:r w:rsidDel="00000000" w:rsidR="00000000" w:rsidRPr="00000000">
        <w:rPr>
          <w:rFonts w:ascii="Times New Roman" w:cs="Times New Roman" w:eastAsia="Times New Roman" w:hAnsi="Times New Roman"/>
          <w:b w:val="1"/>
          <w:bCs w:val="1"/>
          <w:sz w:val="24"/>
          <w:szCs w:val="24"/>
          <w:rtl w:val="0"/>
        </w:rPr>
        <w:t xml:space="preserve">Simulated</w:t>
      </w:r>
      <w:r w:rsidDel="00000000" w:rsidR="00000000" w:rsidRPr="00000000">
        <w:rPr>
          <w:rFonts w:ascii="Times New Roman" w:cs="Times New Roman" w:eastAsia="Times New Roman" w:hAnsi="Times New Roman"/>
          <w:sz w:val="24"/>
          <w:szCs w:val="24"/>
          <w:rtl w:val="0"/>
        </w:rPr>
        <w:t xml:space="preserve"> means an output of the process or financial model, traceable to a named assumption in Appendix A. The vocabulary is the paper's contract with its reader: at any sentence, it should be unambiguous which kind of knowledge is being offered.</w:t>
      </w:r>
    </w:p>
    <w:p w:rsidR="00000000" w:rsidDel="00000000" w:rsidP="00000000" w:rsidRDefault="00000000" w:rsidRPr="00000000" w14:paraId="00000031">
      <w:pPr>
        <w:pStyle w:val="Heading2"/>
        <w:keepNext w:val="0"/>
        <w:keepLines w:val="0"/>
        <w:spacing w:after="140" w:before="300" w:line="360" w:lineRule="auto"/>
        <w:rPr/>
      </w:pPr>
      <w:bookmarkStart w:colFirst="0" w:colLast="0" w:name="_tm2tlmmxw3nn" w:id="10"/>
      <w:bookmarkEnd w:id="10"/>
      <w:r w:rsidDel="00000000" w:rsidR="00000000" w:rsidRPr="00000000">
        <w:rPr>
          <w:rtl w:val="0"/>
        </w:rPr>
        <w:t xml:space="preserve">3.2 Data sources</w:t>
      </w:r>
    </w:p>
    <w:p w:rsidR="00000000" w:rsidDel="00000000" w:rsidP="00000000" w:rsidRDefault="00000000" w:rsidRPr="00000000" w14:paraId="00000032">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3.1 lists every source of evidence the paper draws on, what each supplies, and the section where it does its work. No other data enters the analysis. All monetary figures in this paper are stated in euros, converted from UAE dirhams at AED 1 = €0.23; the underlying records are dirham-denominated.</w:t>
      </w:r>
      <w:r w:rsidDel="00000000" w:rsidR="00000000" w:rsidRPr="00000000">
        <w:rPr>
          <w:rtl w:val="0"/>
        </w:rPr>
      </w:r>
    </w:p>
    <w:tbl>
      <w:tblPr>
        <w:tblStyle w:val="Table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445"/>
        <w:gridCol w:w="3060"/>
        <w:gridCol w:w="1230"/>
        <w:gridCol w:w="660"/>
        <w:tblGridChange w:id="0">
          <w:tblGrid>
            <w:gridCol w:w="1740"/>
            <w:gridCol w:w="2445"/>
            <w:gridCol w:w="3060"/>
            <w:gridCol w:w="1230"/>
            <w:gridCol w:w="660"/>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33">
            <w:pPr>
              <w:spacing w:after="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w:t>
            </w:r>
          </w:p>
        </w:tc>
        <w:tc>
          <w:tcPr>
            <w:tcBorders>
              <w:top w:color="000000" w:space="0" w:sz="6" w:val="single"/>
              <w:left w:color="000000" w:space="0" w:sz="0" w:val="nil"/>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34">
            <w:pPr>
              <w:spacing w:after="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p>
        </w:tc>
        <w:tc>
          <w:tcPr>
            <w:tcBorders>
              <w:top w:color="000000" w:space="0" w:sz="6" w:val="single"/>
              <w:left w:color="000000" w:space="0" w:sz="0" w:val="nil"/>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35">
            <w:pPr>
              <w:spacing w:after="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it supplies</w:t>
            </w:r>
          </w:p>
        </w:tc>
        <w:tc>
          <w:tcPr>
            <w:tcBorders>
              <w:top w:color="000000" w:space="0" w:sz="6" w:val="single"/>
              <w:left w:color="000000" w:space="0" w:sz="0" w:val="nil"/>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36">
            <w:pPr>
              <w:spacing w:after="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Used in</w:t>
            </w:r>
          </w:p>
        </w:tc>
        <w:tc>
          <w:tcPr>
            <w:tcBorders>
              <w:top w:color="000000" w:space="0" w:sz="6" w:val="single"/>
              <w:left w:color="000000" w:space="0" w:sz="0" w:val="nil"/>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37">
            <w:pPr>
              <w:spacing w:after="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Tag</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8">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RFQ log analysis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9">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640 inquiries, Jan–Dec 2025, single branch</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A">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Volumes, tier mix, cycle times, win rates, discount spreads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B">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4.1–4.4, 9.1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C">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D">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Time-and-motion observation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E">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inquiries shadowed end-to-end over 3 weeks; both branch estimators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F">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Step-level touch and queue times; the swimlane of Exhibit 4.1; simulation parameters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0">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4.1, 8.2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1">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r>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2">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Quotation defect audit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3">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Stratified sample of 120 quotations checked against source documents; credit-note ledger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4">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taxonomy, defect frequencies, cost of poor quality</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5">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6">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7">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interviews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8">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structured interviews: estimators, sales, branch and line management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9">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costs, hiring lead times, lost-tender estimate, discounting behaviour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A">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2.2, 4.4, 9.4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B">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C">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Contractor interviews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D">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interviews, in progress (protocol in Appendix 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E">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Drivers of supplier choice; speed-vs-price weighting; stated reaction to automated quoting</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F">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4.6, 9.3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0">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1">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Feasibility audit sample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2">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25–30 historical RFQs across tiers, scored field-by-field per the 8.1 rubric</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3">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Document-complexity typology; evidence-based automation-rate range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4">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8.1, 8.2, 9.5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5">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6">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models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7">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model (authors' operations-simulation platform, 5.5) + financial Monte Carlo</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8">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Projected cycle time, capacity and utilization; NPV distribution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9">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8.2, 9.5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A">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bl>
    <w:p w:rsidR="00000000" w:rsidDel="00000000" w:rsidP="00000000" w:rsidRDefault="00000000" w:rsidRPr="00000000" w14:paraId="0000005B">
      <w:pPr>
        <w:spacing w:after="220" w:before="80" w:line="360" w:lineRule="auto"/>
        <w:rPr>
          <w:rFonts w:ascii="Times New Roman" w:cs="Times New Roman" w:eastAsia="Times New Roman" w:hAnsi="Times New Roman"/>
          <w:i w:val="1"/>
          <w:iCs w:val="1"/>
          <w:color w:val="595959"/>
          <w:sz w:val="24"/>
          <w:szCs w:val="24"/>
        </w:rPr>
      </w:pPr>
      <w:r w:rsidDel="00000000" w:rsidR="00000000" w:rsidRPr="00000000">
        <w:rPr>
          <w:rFonts w:ascii="Times New Roman" w:cs="Times New Roman" w:eastAsia="Times New Roman" w:hAnsi="Times New Roman"/>
          <w:i w:val="1"/>
          <w:iCs w:val="1"/>
          <w:color w:val="595959"/>
          <w:sz w:val="24"/>
          <w:szCs w:val="24"/>
          <w:rtl w:val="0"/>
        </w:rPr>
        <w:t xml:space="preserve">Table 3.1. Evidence base of the study. Tags: M measured, E estimated from sampled data or structured interview, A audited per the 8.1 protocol, S simulated. Bracketed counts to be finalized.</w:t>
      </w:r>
    </w:p>
    <w:p w:rsidR="00000000" w:rsidDel="00000000" w:rsidP="00000000" w:rsidRDefault="00000000" w:rsidRPr="00000000" w14:paraId="0000005C">
      <w:pPr>
        <w:pStyle w:val="Heading2"/>
        <w:keepNext w:val="0"/>
        <w:keepLines w:val="0"/>
        <w:spacing w:after="140" w:before="300" w:line="360" w:lineRule="auto"/>
        <w:rPr/>
      </w:pPr>
      <w:bookmarkStart w:colFirst="0" w:colLast="0" w:name="_mgk3hy75m41" w:id="11"/>
      <w:bookmarkEnd w:id="11"/>
      <w:r w:rsidDel="00000000" w:rsidR="00000000" w:rsidRPr="00000000">
        <w:rPr>
          <w:rtl w:val="0"/>
        </w:rPr>
        <w:t xml:space="preserve">3.3 Simulation methodology</w:t>
      </w:r>
    </w:p>
    <w:p w:rsidR="00000000" w:rsidDel="00000000" w:rsidP="00000000" w:rsidRDefault="00000000" w:rsidRPr="00000000" w14:paraId="0000005D">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models do the projective work of this paper, and one rule governs both: a model earns the right to project a future it has not seen only by first reproducing a past that was measured.</w:t>
      </w:r>
    </w:p>
    <w:p w:rsidR="00000000" w:rsidDel="00000000" w:rsidP="00000000" w:rsidRDefault="00000000" w:rsidRPr="00000000" w14:paraId="0000005E">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process model</w:t>
      </w:r>
      <w:r w:rsidDel="00000000" w:rsidR="00000000" w:rsidRPr="00000000">
        <w:rPr>
          <w:rFonts w:ascii="Times New Roman" w:cs="Times New Roman" w:eastAsia="Times New Roman" w:hAnsi="Times New Roman"/>
          <w:sz w:val="24"/>
          <w:szCs w:val="24"/>
          <w:rtl w:val="0"/>
        </w:rPr>
        <w:t xml:space="preserve"> represents the branch operation as a flow of inquiries through the steps of Exhibit 4.1 — arrivals by tier at measured 2025 rates, touch times from the observed step distributions, estimator capacity as the constraint, queue discipline as observed, with large inquiries modelled as pre-emption because that is what the Innovo case shows happens. It runs on the authors' operations-simulation platform (5.5). Before any to-be scenario is run, the model must reproduce the measured as-is baseline — median and P90 cycle time by tier, within a stated tolerance — and the calibration error is reported in 8.2, because it is the number that separates simulation from arithmetic. Only then are to-be scenarios run across the audited automation range, reporting cycle time, utilization and capacity as distributions.</w:t>
      </w:r>
      <w:r w:rsidDel="00000000" w:rsidR="00000000" w:rsidRPr="00000000">
        <w:rPr>
          <w:rtl w:val="0"/>
        </w:rPr>
      </w:r>
    </w:p>
    <w:p w:rsidR="00000000" w:rsidDel="00000000" w:rsidP="00000000" w:rsidRDefault="00000000" w:rsidRPr="00000000" w14:paraId="0000005F">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financial model</w:t>
      </w:r>
      <w:r w:rsidDel="00000000" w:rsidR="00000000" w:rsidRPr="00000000">
        <w:rPr>
          <w:rFonts w:ascii="Times New Roman" w:cs="Times New Roman" w:eastAsia="Times New Roman" w:hAnsi="Times New Roman"/>
          <w:sz w:val="24"/>
          <w:szCs w:val="24"/>
          <w:rtl w:val="0"/>
        </w:rPr>
        <w:t xml:space="preserve"> converts those projections into an investment case by Monte Carlo, because the honest state of knowledge in an ex-ante study is a set of ranges. Three uncertain inputs are treated as distributions — the automation rate (bounded by the 8.1 audit), the win-rate uplift from faster quoting (triangulated in 9.3 and floored at zero in the conservative case), and the build cost (9.4) — producing five-year NPV at P10, P50 and P90 with the probability of clearing the hurdle rate. Every input distribution is documented in Appendix C; no parameter enters the model that the Appendix A register does not name.</w:t>
      </w:r>
      <w:r w:rsidDel="00000000" w:rsidR="00000000" w:rsidRPr="00000000">
        <w:rPr>
          <w:rtl w:val="0"/>
        </w:rPr>
      </w:r>
    </w:p>
    <w:p w:rsidR="00000000" w:rsidDel="00000000" w:rsidP="00000000" w:rsidRDefault="00000000" w:rsidRPr="00000000" w14:paraId="00000060">
      <w:pPr>
        <w:pStyle w:val="Heading2"/>
        <w:keepNext w:val="0"/>
        <w:keepLines w:val="0"/>
        <w:spacing w:after="140" w:before="300" w:line="360" w:lineRule="auto"/>
        <w:rPr/>
      </w:pPr>
      <w:bookmarkStart w:colFirst="0" w:colLast="0" w:name="_ghbqghrc3i7a" w:id="12"/>
      <w:bookmarkEnd w:id="12"/>
      <w:r w:rsidDel="00000000" w:rsidR="00000000" w:rsidRPr="00000000">
        <w:rPr>
          <w:rtl w:val="0"/>
        </w:rPr>
        <w:t xml:space="preserve">3.4 Limitations of method</w:t>
      </w:r>
    </w:p>
    <w:p w:rsidR="00000000" w:rsidDel="00000000" w:rsidP="00000000" w:rsidRDefault="00000000" w:rsidRPr="00000000" w14:paraId="00000061">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limitations are acknowledged now and treated fully in Section 12. The baseline is one branch of one distributor, measured over one year, and the deep-observation sample behind the step timings is 22 inquiries. The future state is simulated and audited, not observed: no live extraction accuracy, engineer adoption, or contractor behaviour has been measured, and the pilot recommended in Section 11 exists precisely to supply what this design cannot. And the demand-side evidence — how much speed is worth in won tenders — rests on triangulated history and stated preferences rather than experiment, which is why the financial model floors that benefit at zero before it claims anything else.</w:t>
      </w:r>
    </w:p>
    <w:p w:rsidR="00000000" w:rsidDel="00000000" w:rsidP="00000000" w:rsidRDefault="00000000" w:rsidRPr="00000000" w14:paraId="00000062">
      <w:pPr>
        <w:pStyle w:val="Heading1"/>
        <w:spacing w:after="100" w:line="360" w:lineRule="auto"/>
        <w:rPr/>
      </w:pPr>
      <w:bookmarkStart w:colFirst="0" w:colLast="0" w:name="_oc4xsxrg5urn" w:id="13"/>
      <w:bookmarkEnd w:id="13"/>
      <w:r w:rsidDel="00000000" w:rsidR="00000000" w:rsidRPr="00000000">
        <w:rPr>
          <w:rtl w:val="0"/>
        </w:rPr>
        <w:t xml:space="preserve">Section 4 — Current State Analysis</w:t>
      </w:r>
    </w:p>
    <w:p w:rsidR="00000000" w:rsidDel="00000000" w:rsidP="00000000" w:rsidRDefault="00000000" w:rsidRPr="00000000" w14:paraId="00000063">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sources anchor this section: the 2025 inquiry log (640 pump RFQs, M); three weeks of direct observation, during which 22 inquiries were timestamped from arrival to quotation (M); and the finance ledger of credit notes and rework traceable to quotation defects (M). Figures that could not be read directly from records were estimated from sampled data or structured interviews and are tagged (E). Everything the later sections project is anchored to what this section can demonstrate.</w:t>
      </w:r>
      <w:r w:rsidDel="00000000" w:rsidR="00000000" w:rsidRPr="00000000">
        <w:rPr>
          <w:rtl w:val="0"/>
        </w:rPr>
      </w:r>
    </w:p>
    <w:p w:rsidR="00000000" w:rsidDel="00000000" w:rsidP="00000000" w:rsidRDefault="00000000" w:rsidRPr="00000000" w14:paraId="00000064">
      <w:pPr>
        <w:pStyle w:val="Heading2"/>
        <w:keepNext w:val="0"/>
        <w:keepLines w:val="0"/>
        <w:spacing w:after="140" w:before="320" w:line="360" w:lineRule="auto"/>
        <w:rPr/>
      </w:pPr>
      <w:bookmarkStart w:colFirst="0" w:colLast="0" w:name="_vx7debudgplt" w:id="14"/>
      <w:bookmarkEnd w:id="14"/>
      <w:r w:rsidDel="00000000" w:rsidR="00000000" w:rsidRPr="00000000">
        <w:rPr>
          <w:rtl w:val="0"/>
        </w:rPr>
        <w:t xml:space="preserve">4.1 The as-is process: a swimlane view</w:t>
      </w:r>
    </w:p>
    <w:p w:rsidR="00000000" w:rsidDel="00000000" w:rsidP="00000000" w:rsidRDefault="00000000" w:rsidRPr="00000000" w14:paraId="00000065">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inquiry arrives as an email carrying some combination of a specification extract, a pump schedule — often a scanned image — a riser diagram, and occasionally a CAD file. From there it passes through nine steps and five roles before a quotation goes back out. Exhibit 4.1 maps the path, annotating each step with touch time (someone actively working on the inquiry) and queue time (the inquiry waiting its turn).</w:t>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29972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20" w:before="80" w:line="360" w:lineRule="auto"/>
        <w:rPr>
          <w:rFonts w:ascii="Times New Roman" w:cs="Times New Roman" w:eastAsia="Times New Roman" w:hAnsi="Times New Roman"/>
          <w:i w:val="1"/>
          <w:iCs w:val="1"/>
          <w:color w:val="595959"/>
          <w:sz w:val="24"/>
          <w:szCs w:val="24"/>
        </w:rPr>
      </w:pPr>
      <w:r w:rsidDel="00000000" w:rsidR="00000000" w:rsidRPr="00000000">
        <w:rPr>
          <w:rFonts w:ascii="Times New Roman" w:cs="Times New Roman" w:eastAsia="Times New Roman" w:hAnsi="Times New Roman"/>
          <w:i w:val="1"/>
          <w:iCs w:val="1"/>
          <w:color w:val="595959"/>
          <w:sz w:val="24"/>
          <w:szCs w:val="24"/>
          <w:rtl w:val="0"/>
        </w:rPr>
        <w:t xml:space="preserve">Exhibit 4.1. Median values across the 22 observed inquiries (M). The clarification loop and the management approval loop occur on a subset of inquiries; their queue times are medians within that subset.</w:t>
      </w:r>
    </w:p>
    <w:p w:rsidR="00000000" w:rsidDel="00000000" w:rsidP="00000000" w:rsidRDefault="00000000" w:rsidRPr="00000000" w14:paraId="00000067">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exhibit carries the central finding of the current-state study: the median case consumed 5.5 hours of actual work spread over roughly 39 working hours of elapsed time (M). Six hours out of every seven, nobody was working on the inquiry at all — it was waiting to be assigned, waiting in an estimator's personal queue, waiting on the contractor's answer, waiting for a discount approval. The work is not slow; the waiting is.</w:t>
      </w:r>
      <w:r w:rsidDel="00000000" w:rsidR="00000000" w:rsidRPr="00000000">
        <w:rPr>
          <w:rtl w:val="0"/>
        </w:rPr>
      </w:r>
    </w:p>
    <w:p w:rsidR="00000000" w:rsidDel="00000000" w:rsidP="00000000" w:rsidRDefault="00000000" w:rsidRPr="00000000" w14:paraId="00000068">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26289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20" w:before="80" w:line="360" w:lineRule="auto"/>
        <w:rPr>
          <w:rFonts w:ascii="Times New Roman" w:cs="Times New Roman" w:eastAsia="Times New Roman" w:hAnsi="Times New Roman"/>
          <w:i w:val="1"/>
          <w:iCs w:val="1"/>
          <w:color w:val="595959"/>
          <w:sz w:val="24"/>
          <w:szCs w:val="24"/>
        </w:rPr>
      </w:pPr>
      <w:r w:rsidDel="00000000" w:rsidR="00000000" w:rsidRPr="00000000">
        <w:rPr>
          <w:rFonts w:ascii="Times New Roman" w:cs="Times New Roman" w:eastAsia="Times New Roman" w:hAnsi="Times New Roman"/>
          <w:i w:val="1"/>
          <w:iCs w:val="1"/>
          <w:color w:val="595959"/>
          <w:sz w:val="24"/>
          <w:szCs w:val="24"/>
          <w:rtl w:val="0"/>
        </w:rPr>
        <w:t xml:space="preserve">Exhibit 4.2. Touch and queue medians by inquiry tier (tiers defined in 4.2). The queue share is remarkably stable — between 86% and 88% — regardless of complexity (M).</w:t>
      </w:r>
    </w:p>
    <w:p w:rsidR="00000000" w:rsidDel="00000000" w:rsidP="00000000" w:rsidRDefault="00000000" w:rsidRPr="00000000" w14:paraId="0000006A">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steps account for most of the queueing: assignment (a median 14 working hours before an estimator picks the inquiry up), the clarification loop (a median 41 working hours for the contractor's answer, during which the process cannot move), and pricing approval. Each is a handover between people, and each handover is a queue. The cost side is simpler: at a fully loaded €12 per hour — €22,000 a year over roughly 1,840 productive hours (E, payroll records) — the median inquiry carries about €66 of direct labour, developed by tier in 4.3.</w:t>
      </w:r>
      <w:r w:rsidDel="00000000" w:rsidR="00000000" w:rsidRPr="00000000">
        <w:rPr>
          <w:rtl w:val="0"/>
        </w:rPr>
      </w:r>
    </w:p>
    <w:p w:rsidR="00000000" w:rsidDel="00000000" w:rsidP="00000000" w:rsidRDefault="00000000" w:rsidRPr="00000000" w14:paraId="0000006B">
      <w:pPr>
        <w:pStyle w:val="Heading2"/>
        <w:keepNext w:val="0"/>
        <w:keepLines w:val="0"/>
        <w:spacing w:after="140" w:before="320" w:line="360" w:lineRule="auto"/>
        <w:rPr/>
      </w:pPr>
      <w:bookmarkStart w:colFirst="0" w:colLast="0" w:name="_t1nbanntcybj" w:id="15"/>
      <w:bookmarkEnd w:id="15"/>
      <w:r w:rsidDel="00000000" w:rsidR="00000000" w:rsidRPr="00000000">
        <w:rPr>
          <w:rtl w:val="0"/>
        </w:rPr>
        <w:t xml:space="preserve">4.2 RFQ segmentation</w:t>
      </w:r>
    </w:p>
    <w:p w:rsidR="00000000" w:rsidDel="00000000" w:rsidP="00000000" w:rsidRDefault="00000000" w:rsidRPr="00000000" w14:paraId="0000006C">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replacement circulator and a three-building museum package have nothing in common except the mailbox they arrive in, so every 2025 inquiry was classified retrospectively into three tiers by pump count, data completeness at receipt, and project value. Two staff members classified independently, agreeing on 91% of inquiries (E). The taxonomy carries through the paper: Section 7 routes by it, Section 8 samples by it, and Section 9 builds its benefits by it.</w:t>
      </w:r>
      <w:r w:rsidDel="00000000" w:rsidR="00000000" w:rsidRPr="00000000">
        <w:rPr>
          <w:rtl w:val="0"/>
        </w:rPr>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190"/>
        <w:gridCol w:w="2370"/>
        <w:gridCol w:w="2370"/>
        <w:tblGridChange w:id="0">
          <w:tblGrid>
            <w:gridCol w:w="2190"/>
            <w:gridCol w:w="2190"/>
            <w:gridCol w:w="2370"/>
            <w:gridCol w:w="237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6D">
            <w:pPr>
              <w:spacing w:after="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Criterion</w:t>
            </w:r>
          </w:p>
        </w:tc>
        <w:tc>
          <w:tcPr>
            <w:tcBorders>
              <w:top w:color="000000" w:space="0" w:sz="6" w:val="single"/>
              <w:left w:color="000000" w:space="0" w:sz="0" w:val="nil"/>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6E">
            <w:pPr>
              <w:spacing w:after="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Tier 1 — Simple</w:t>
            </w:r>
          </w:p>
        </w:tc>
        <w:tc>
          <w:tcPr>
            <w:tcBorders>
              <w:top w:color="000000" w:space="0" w:sz="6" w:val="single"/>
              <w:left w:color="000000" w:space="0" w:sz="0" w:val="nil"/>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6F">
            <w:pPr>
              <w:spacing w:after="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Tier 2 — Standard</w:t>
            </w:r>
          </w:p>
        </w:tc>
        <w:tc>
          <w:tcPr>
            <w:tcBorders>
              <w:top w:color="000000" w:space="0" w:sz="6" w:val="single"/>
              <w:left w:color="000000" w:space="0" w:sz="0" w:val="nil"/>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70">
            <w:pPr>
              <w:spacing w:after="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Tier 3 — Complex</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1">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Pumps requested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2">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One application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3">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 up to 2 applications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4">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&gt;12, or multiple systems / buildings (Multiple applications)</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5">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completeness at receipt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6">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or trivially completable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7">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typically one clarification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8">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Substantially incomplete; drawings required</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9">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 content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A">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Replacement unit, small booster set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B">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building or package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C">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Chilled water, multi-building, special quotes to manufacturer</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D">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value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E">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€9k</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F">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€9k – €80k</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0">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€80k</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1">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 of inquiry volume (M)</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2">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3">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4">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5">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 of quoted value (M)</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6">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7">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8">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r>
    </w:tbl>
    <w:p w:rsidR="00000000" w:rsidDel="00000000" w:rsidP="00000000" w:rsidRDefault="00000000" w:rsidRPr="00000000" w14:paraId="00000089">
      <w:pPr>
        <w:spacing w:after="220" w:before="80" w:line="360" w:lineRule="auto"/>
        <w:rPr>
          <w:rFonts w:ascii="Times New Roman" w:cs="Times New Roman" w:eastAsia="Times New Roman" w:hAnsi="Times New Roman"/>
          <w:i w:val="1"/>
          <w:iCs w:val="1"/>
          <w:color w:val="595959"/>
          <w:sz w:val="24"/>
          <w:szCs w:val="24"/>
        </w:rPr>
      </w:pPr>
      <w:r w:rsidDel="00000000" w:rsidR="00000000" w:rsidRPr="00000000">
        <w:rPr>
          <w:rFonts w:ascii="Times New Roman" w:cs="Times New Roman" w:eastAsia="Times New Roman" w:hAnsi="Times New Roman"/>
          <w:i w:val="1"/>
          <w:iCs w:val="1"/>
          <w:color w:val="595959"/>
          <w:sz w:val="24"/>
          <w:szCs w:val="24"/>
          <w:rtl w:val="0"/>
        </w:rPr>
        <w:t xml:space="preserve">Table 4.1. Segmentation criteria and 2025 mix. n = 640 inquiries.</w:t>
      </w:r>
    </w:p>
    <w:p w:rsidR="00000000" w:rsidDel="00000000" w:rsidP="00000000" w:rsidRDefault="00000000" w:rsidRPr="00000000" w14:paraId="0000008A">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inversion in the last two rows matters: Tier 3 supplies one inquiry in eight but nearly half the quoted value, so the commercially decisive inquiries are exactly where the process is slowest, the documents messiest, and the expertise thinnest — two estimators can handle a chilled-water package unassisted, and one of them handles most. A redesign that only worked for simple inquiries would automate the 12% of value that least needs help.</w:t>
      </w:r>
      <w:r w:rsidDel="00000000" w:rsidR="00000000" w:rsidRPr="00000000">
        <w:rPr>
          <w:rtl w:val="0"/>
        </w:rPr>
      </w:r>
    </w:p>
    <w:p w:rsidR="00000000" w:rsidDel="00000000" w:rsidP="00000000" w:rsidRDefault="00000000" w:rsidRPr="00000000" w14:paraId="0000008B">
      <w:pPr>
        <w:pStyle w:val="Heading1"/>
        <w:keepNext w:val="0"/>
        <w:keepLines w:val="0"/>
        <w:spacing w:after="140" w:before="320" w:line="360" w:lineRule="auto"/>
        <w:rPr>
          <w:rFonts w:ascii="Times New Roman" w:cs="Times New Roman" w:eastAsia="Times New Roman" w:hAnsi="Times New Roman"/>
          <w:b w:val="1"/>
          <w:bCs w:val="1"/>
          <w:color w:val="1f4e5f"/>
          <w:sz w:val="24"/>
          <w:szCs w:val="24"/>
        </w:rPr>
      </w:pPr>
      <w:bookmarkStart w:colFirst="0" w:colLast="0" w:name="_yw4ql3qtj4w2" w:id="16"/>
      <w:bookmarkEnd w:id="16"/>
      <w:r w:rsidDel="00000000" w:rsidR="00000000" w:rsidRPr="00000000">
        <w:rPr>
          <w:rtl w:val="0"/>
        </w:rPr>
      </w:r>
    </w:p>
    <w:p w:rsidR="00000000" w:rsidDel="00000000" w:rsidP="00000000" w:rsidRDefault="00000000" w:rsidRPr="00000000" w14:paraId="0000008C">
      <w:pPr>
        <w:pStyle w:val="Heading1"/>
        <w:keepNext w:val="0"/>
        <w:keepLines w:val="0"/>
        <w:spacing w:after="140" w:before="320" w:line="360" w:lineRule="auto"/>
        <w:rPr>
          <w:rFonts w:ascii="Times New Roman" w:cs="Times New Roman" w:eastAsia="Times New Roman" w:hAnsi="Times New Roman"/>
          <w:b w:val="1"/>
          <w:bCs w:val="1"/>
          <w:color w:val="1f4e5f"/>
          <w:sz w:val="24"/>
          <w:szCs w:val="24"/>
        </w:rPr>
      </w:pPr>
      <w:bookmarkStart w:colFirst="0" w:colLast="0" w:name="_jbef5jo3szj0" w:id="17"/>
      <w:bookmarkEnd w:id="17"/>
      <w:r w:rsidDel="00000000" w:rsidR="00000000" w:rsidRPr="00000000">
        <w:rPr>
          <w:rtl w:val="0"/>
        </w:rPr>
      </w:r>
    </w:p>
    <w:p w:rsidR="00000000" w:rsidDel="00000000" w:rsidP="00000000" w:rsidRDefault="00000000" w:rsidRPr="00000000" w14:paraId="0000008D">
      <w:pPr>
        <w:pStyle w:val="Heading2"/>
        <w:keepNext w:val="0"/>
        <w:keepLines w:val="0"/>
        <w:spacing w:after="140" w:before="320" w:line="360" w:lineRule="auto"/>
        <w:rPr/>
      </w:pPr>
      <w:bookmarkStart w:colFirst="0" w:colLast="0" w:name="_bafj2h23maeq" w:id="18"/>
      <w:bookmarkEnd w:id="18"/>
      <w:r w:rsidDel="00000000" w:rsidR="00000000" w:rsidRPr="00000000">
        <w:rPr>
          <w:rtl w:val="0"/>
        </w:rPr>
        <w:t xml:space="preserve">4.3 Baseline metrics</w:t>
      </w:r>
    </w:p>
    <w:p w:rsidR="00000000" w:rsidDel="00000000" w:rsidP="00000000" w:rsidRDefault="00000000" w:rsidRPr="00000000" w14:paraId="0000008E">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4.2 consolidates the baseline. Every subsequent claim of improvement in this paper is a claim against one of these cells.</w:t>
      </w:r>
    </w:p>
    <w:tbl>
      <w:tblPr>
        <w:tblStyle w:val="Table3"/>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0"/>
        <w:gridCol w:w="1365"/>
        <w:gridCol w:w="1365"/>
        <w:gridCol w:w="1365"/>
        <w:gridCol w:w="840"/>
        <w:tblGridChange w:id="0">
          <w:tblGrid>
            <w:gridCol w:w="4200"/>
            <w:gridCol w:w="1365"/>
            <w:gridCol w:w="1365"/>
            <w:gridCol w:w="1365"/>
            <w:gridCol w:w="84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8F">
            <w:pPr>
              <w:spacing w:after="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p>
        </w:tc>
        <w:tc>
          <w:tcPr>
            <w:tcBorders>
              <w:top w:color="000000" w:space="0" w:sz="6" w:val="single"/>
              <w:left w:color="000000" w:space="0" w:sz="0" w:val="nil"/>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90">
            <w:pPr>
              <w:spacing w:after="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Tier 1</w:t>
            </w:r>
          </w:p>
        </w:tc>
        <w:tc>
          <w:tcPr>
            <w:tcBorders>
              <w:top w:color="000000" w:space="0" w:sz="6" w:val="single"/>
              <w:left w:color="000000" w:space="0" w:sz="0" w:val="nil"/>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91">
            <w:pPr>
              <w:spacing w:after="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Tier 2</w:t>
            </w:r>
          </w:p>
        </w:tc>
        <w:tc>
          <w:tcPr>
            <w:tcBorders>
              <w:top w:color="000000" w:space="0" w:sz="6" w:val="single"/>
              <w:left w:color="000000" w:space="0" w:sz="0" w:val="nil"/>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92">
            <w:pPr>
              <w:spacing w:after="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Tier 3</w:t>
            </w:r>
          </w:p>
        </w:tc>
        <w:tc>
          <w:tcPr>
            <w:tcBorders>
              <w:top w:color="000000" w:space="0" w:sz="6" w:val="single"/>
              <w:left w:color="000000" w:space="0" w:sz="0" w:val="nil"/>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93">
            <w:pPr>
              <w:spacing w:after="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Tag</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4">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Inquiries per month</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5">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6">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7">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8">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9">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 cycle time (working hours)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A">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B">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C">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D">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E">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P90 cycle time (working hours)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F">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0">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1">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2">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3">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Touch time per inquiry (hours)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4">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5">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6">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7">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8">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cost per quote (€)</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9">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A">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B">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137</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C">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D">
            <w:pPr>
              <w:spacing w:after="40"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Inquiries with ≥1 defect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E">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F">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0">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1">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2">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 rate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3">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4">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5">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6">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7">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Gross margin on won quotes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8">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9">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A">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B">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r>
    </w:tbl>
    <w:p w:rsidR="00000000" w:rsidDel="00000000" w:rsidP="00000000" w:rsidRDefault="00000000" w:rsidRPr="00000000" w14:paraId="000000BC">
      <w:pPr>
        <w:spacing w:after="220" w:before="80" w:line="360" w:lineRule="auto"/>
        <w:rPr>
          <w:rFonts w:ascii="Times New Roman" w:cs="Times New Roman" w:eastAsia="Times New Roman" w:hAnsi="Times New Roman"/>
          <w:i w:val="1"/>
          <w:iCs w:val="1"/>
          <w:color w:val="595959"/>
          <w:sz w:val="24"/>
          <w:szCs w:val="24"/>
        </w:rPr>
      </w:pPr>
      <w:r w:rsidDel="00000000" w:rsidR="00000000" w:rsidRPr="00000000">
        <w:rPr>
          <w:rFonts w:ascii="Times New Roman" w:cs="Times New Roman" w:eastAsia="Times New Roman" w:hAnsi="Times New Roman"/>
          <w:i w:val="1"/>
          <w:iCs w:val="1"/>
          <w:color w:val="595959"/>
          <w:sz w:val="24"/>
          <w:szCs w:val="24"/>
          <w:rtl w:val="0"/>
        </w:rPr>
        <w:t xml:space="preserve">Table 4.2. Baseline metrics by tier, 2025. Cost per quote combines touch hours at loaded rates with a per-inquiry allocation of estimation software licences; defect rates were estimated by auditing a stratified sample of 120 quotations against source documents.</w:t>
      </w:r>
    </w:p>
    <w:p w:rsidR="00000000" w:rsidDel="00000000" w:rsidP="00000000" w:rsidRDefault="00000000" w:rsidRPr="00000000" w14:paraId="000000BD">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readings follow. First, cycle time grows faster than touch time as complexity rises — an 88-hour Tier 3 median contains only 11.4 hours of work — so the delay problem is structural, not a matter of effort. Second, the defect rate triples between Tier 1 and Tier 3, tracking the volume of manual transcription each tier demands. Third, and read together with the value shares in Table 4.1: the business earns its margin where its process performs worst. That tension is what the Innovo inquiry in 4.5 makes concrete.</w:t>
      </w:r>
    </w:p>
    <w:p w:rsidR="00000000" w:rsidDel="00000000" w:rsidP="00000000" w:rsidRDefault="00000000" w:rsidRPr="00000000" w14:paraId="000000BE">
      <w:pPr>
        <w:pStyle w:val="Heading2"/>
        <w:keepNext w:val="0"/>
        <w:keepLines w:val="0"/>
        <w:spacing w:after="140" w:before="320" w:line="360" w:lineRule="auto"/>
        <w:rPr/>
      </w:pPr>
      <w:bookmarkStart w:colFirst="0" w:colLast="0" w:name="_2a4qtlx4kl87" w:id="19"/>
      <w:bookmarkEnd w:id="19"/>
      <w:r w:rsidDel="00000000" w:rsidR="00000000" w:rsidRPr="00000000">
        <w:rPr>
          <w:rtl w:val="0"/>
        </w:rPr>
        <w:t xml:space="preserve">4.4 Error taxonomy and the cost of poor quality</w:t>
      </w:r>
    </w:p>
    <w:p w:rsidR="00000000" w:rsidDel="00000000" w:rsidP="00000000" w:rsidRDefault="00000000" w:rsidRPr="00000000" w14:paraId="000000BF">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audit of 120 sampled quotations, cross-checked against the credit-note ledger, surfaced four distinct classes of error. They differ not only in frequency but in when they are discovered, and discovery timing drives cost far more than the mistake itself: an extraction error caught at internal review costs an hour of rework, while the same error caught at commissioning costs a return shipment, a site visit, and a measure of trust.</w:t>
      </w:r>
    </w:p>
    <w:tbl>
      <w:tblPr>
        <w:tblStyle w:val="Table4"/>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3060"/>
        <w:gridCol w:w="1185"/>
        <w:gridCol w:w="1320"/>
        <w:gridCol w:w="1725"/>
        <w:tblGridChange w:id="0">
          <w:tblGrid>
            <w:gridCol w:w="1815"/>
            <w:gridCol w:w="3060"/>
            <w:gridCol w:w="1185"/>
            <w:gridCol w:w="1320"/>
            <w:gridCol w:w="1725"/>
          </w:tblGrid>
        </w:tblGridChange>
      </w:tblGrid>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C0">
            <w:pPr>
              <w:spacing w:after="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 class</w:t>
            </w:r>
          </w:p>
        </w:tc>
        <w:tc>
          <w:tcPr>
            <w:tcBorders>
              <w:top w:color="000000" w:space="0" w:sz="6" w:val="single"/>
              <w:left w:color="000000" w:space="0" w:sz="0" w:val="nil"/>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C1">
            <w:pPr>
              <w:spacing w:after="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it looks like</w:t>
            </w:r>
          </w:p>
        </w:tc>
        <w:tc>
          <w:tcPr>
            <w:tcBorders>
              <w:top w:color="000000" w:space="0" w:sz="6" w:val="single"/>
              <w:left w:color="000000" w:space="0" w:sz="0" w:val="nil"/>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C2">
            <w:pPr>
              <w:spacing w:after="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Share of defects (E)</w:t>
            </w:r>
          </w:p>
        </w:tc>
        <w:tc>
          <w:tcPr>
            <w:tcBorders>
              <w:top w:color="000000" w:space="0" w:sz="6" w:val="single"/>
              <w:left w:color="000000" w:space="0" w:sz="0" w:val="nil"/>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C3">
            <w:pPr>
              <w:spacing w:after="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Frequency (E)</w:t>
            </w:r>
          </w:p>
        </w:tc>
        <w:tc>
          <w:tcPr>
            <w:tcBorders>
              <w:top w:color="000000" w:space="0" w:sz="6" w:val="single"/>
              <w:left w:color="000000" w:space="0" w:sz="0" w:val="nil"/>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C4">
            <w:pPr>
              <w:spacing w:after="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Typical unit cost (E)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5">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Extraction / transcription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6">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head or model data mis-read or re-keyed wrongly from PDF, scan or drawing</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7">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8">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of inquiries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9">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 rework; occasional full requote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A">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B">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Head-loss worked from wrong pipe length, material or fitting count; sizing off as a result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C">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D">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of inquiries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E">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€440; site failure cases exceed €5,750</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F">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Selection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0">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Feasible but wrong model — duty point at curve edge, wrong configuration for the application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1">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2">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of inquiries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3">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€1,840 avg. (returns, re-orders, commissioning delay)</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4">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Pricing / commercial</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5">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Wrong list price, missed cost update, arithmetic in the discount line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6">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7">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of inquiries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8">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€740 direct margin loss</w:t>
            </w:r>
          </w:p>
        </w:tc>
      </w:tr>
    </w:tbl>
    <w:p w:rsidR="00000000" w:rsidDel="00000000" w:rsidP="00000000" w:rsidRDefault="00000000" w:rsidRPr="00000000" w14:paraId="000000D9">
      <w:pPr>
        <w:spacing w:after="220" w:before="80" w:line="360" w:lineRule="auto"/>
        <w:rPr>
          <w:rFonts w:ascii="Times New Roman" w:cs="Times New Roman" w:eastAsia="Times New Roman" w:hAnsi="Times New Roman"/>
          <w:i w:val="1"/>
          <w:iCs w:val="1"/>
          <w:color w:val="595959"/>
          <w:sz w:val="24"/>
          <w:szCs w:val="24"/>
        </w:rPr>
      </w:pPr>
      <w:r w:rsidDel="00000000" w:rsidR="00000000" w:rsidRPr="00000000">
        <w:rPr>
          <w:rFonts w:ascii="Times New Roman" w:cs="Times New Roman" w:eastAsia="Times New Roman" w:hAnsi="Times New Roman"/>
          <w:i w:val="1"/>
          <w:iCs w:val="1"/>
          <w:color w:val="595959"/>
          <w:sz w:val="24"/>
          <w:szCs w:val="24"/>
          <w:rtl w:val="0"/>
        </w:rPr>
        <w:t xml:space="preserve">Table 4.3. Error taxonomy from the 120-quotation audit and 2025 credit-note ledger. Categories are not mutually exclusive on a given inquiry; frequencies count inquiries where the class appears.</w:t>
      </w:r>
    </w:p>
    <w:p w:rsidR="00000000" w:rsidDel="00000000" w:rsidP="00000000" w:rsidRDefault="00000000" w:rsidRPr="00000000" w14:paraId="000000DA">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Summed across the year, the traceable cost of the four classes comes to roughly 1.2% of revenue (E). The chain matters as much as the total: nearly every calculation and selection error began life as an extraction problem, so attacking the point of entry starves much of the downstream taxonomy.</w:t>
      </w:r>
      <w:r w:rsidDel="00000000" w:rsidR="00000000" w:rsidRPr="00000000">
        <w:rPr>
          <w:rtl w:val="0"/>
        </w:rPr>
      </w:r>
    </w:p>
    <w:p w:rsidR="00000000" w:rsidDel="00000000" w:rsidP="00000000" w:rsidRDefault="00000000" w:rsidRPr="00000000" w14:paraId="000000DB">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larger leak never appears in an error report, because each instance looks like a reasonable commercial decision. Discounts are set case by case with no reference point in front of the pricer: matched 2025 quotations show discounts on comparable Tier 2 work ranging from 4% to 18% (M) — not because the jobs differed, but because the days did. Against the median like-for-like discount, the foregone margin is roughly 1.9% of revenue annually (E), half again as large as all four error classes combined, and invisible precisely because no single decision was wrong. Together, quality cost and discount leakage run to about 3.1% of revenue — the figure the pricing engine of Section 7.6 is designed against.</w:t>
      </w:r>
    </w:p>
    <w:p w:rsidR="00000000" w:rsidDel="00000000" w:rsidP="00000000" w:rsidRDefault="00000000" w:rsidRPr="00000000" w14:paraId="000000DC">
      <w:pPr>
        <w:pStyle w:val="Heading2"/>
        <w:keepNext w:val="0"/>
        <w:keepLines w:val="0"/>
        <w:spacing w:after="140" w:before="320" w:line="360" w:lineRule="auto"/>
        <w:rPr/>
      </w:pPr>
      <w:bookmarkStart w:colFirst="0" w:colLast="0" w:name="_om4ug7dwp15" w:id="20"/>
      <w:bookmarkEnd w:id="20"/>
      <w:r w:rsidDel="00000000" w:rsidR="00000000" w:rsidRPr="00000000">
        <w:rPr>
          <w:rtl w:val="0"/>
        </w:rPr>
        <w:t xml:space="preserve">4.5 The Innovo inquiry: Guggenheim Abu Dhabi, as-is</w:t>
      </w:r>
    </w:p>
    <w:p w:rsidR="00000000" w:rsidDel="00000000" w:rsidP="00000000" w:rsidRDefault="00000000" w:rsidRPr="00000000" w14:paraId="000000D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numbers above describe the process in aggregate; the Innovo inquiry that opened this paper shows what they feel like from inside. By the criteria of 4.2 it was a large Tier 3 inquiry — a specification extract running to dozens of pages, schedules scanned as images, riser diagrams across several buildings — and Table 4.4 reconstructs its path through the office, timestamped from the mailbox records and the estimators' logs.</w:t>
      </w:r>
      <w:r w:rsidDel="00000000" w:rsidR="00000000" w:rsidRPr="00000000">
        <w:rPr>
          <w:rtl w:val="0"/>
        </w:rPr>
      </w:r>
    </w:p>
    <w:p w:rsidR="00000000" w:rsidDel="00000000" w:rsidP="00000000" w:rsidRDefault="00000000" w:rsidRPr="00000000" w14:paraId="000000DE">
      <w:pPr>
        <w:spacing w:after="16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4140"/>
        <w:gridCol w:w="1245"/>
        <w:gridCol w:w="1260"/>
        <w:tblGridChange w:id="0">
          <w:tblGrid>
            <w:gridCol w:w="1635"/>
            <w:gridCol w:w="4140"/>
            <w:gridCol w:w="1245"/>
            <w:gridCol w:w="126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0D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0E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happened</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0E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Touch</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0E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Waiting</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16:30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Inquiry received; sits unread overnight in the shared mailbox</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E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E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 10:15</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Triaged and assigned to an estimator</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E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 h</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E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 h</w:t>
            </w:r>
          </w:p>
        </w:tc>
      </w:tr>
      <w:tr>
        <w:trPr>
          <w:cantSplit w:val="0"/>
          <w:trHeight w:val="124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 – Sat</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Specification, schedules and drawings read across all five applications; schedules transcribed by hand; gaps found on two systems, static head ambiguous between risers and flow missing for the transfer set</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E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 h</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E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h</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 14:00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Consolidated clarification drafted and sent to the contractor</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 h</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 h</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Tue 11:20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Contractor replies (weekend plus Monday in between); reply read and filed</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working days</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Tue – Wed</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Head-loss calculations for all five systems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h</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h</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Wed – Thu</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selection in the manufacturer software across 75 pumps; several booster and chilled-water duty points fall near the curve edge</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h</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h</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estimator pulled in to confirm the curve-edge selections; booster set re-checked after a static-head reading is questioned</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h</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h</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Pricing and discount debated across the package between sales and estimation</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h</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h</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evening</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Quotation assembled and issued, two days after the Tuesday deadline</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h</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0B">
      <w:pPr>
        <w:spacing w:after="200" w:before="6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Table 4.4. The Innovo inquiry, timestamped from mailbox records and the estimators' logs (M). Touch total: 28 hours. Elapsed: seven calendar days, quote issued two days past the deadline.</w:t>
      </w:r>
    </w:p>
    <w:p w:rsidR="00000000" w:rsidDel="00000000" w:rsidP="00000000" w:rsidRDefault="00000000" w:rsidRPr="00000000" w14:paraId="0000010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Seven calendar days from receipt to quotation; twenty-eight hours of work across three estimators and a weekend of overtime — well above the Tier 3 median of Table 4.2. What made it memorable was not that it was unusual, but that the process could not absorb a job this size inside the deadline, however many people were thrown at it.</w:t>
      </w:r>
      <w:r w:rsidDel="00000000" w:rsidR="00000000" w:rsidRPr="00000000">
        <w:rPr>
          <w:rtl w:val="0"/>
        </w:rPr>
      </w:r>
    </w:p>
    <w:p w:rsidR="00000000" w:rsidDel="00000000" w:rsidP="00000000" w:rsidRDefault="00000000" w:rsidRPr="00000000" w14:paraId="0000010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nearly went wrong, twice. A static head read from the wrong drawing would have undersized the booster set for the taller building — caught only because an odd duty point prompted a second look — and the contractor's reply sat unread for a stretch, because nothing in the process flags a waiting inquiry when its answer arrives. The quotation was late, and it nearly went out wrong, on a marquee project.</w:t>
      </w:r>
    </w:p>
    <w:p w:rsidR="00000000" w:rsidDel="00000000" w:rsidP="00000000" w:rsidRDefault="00000000" w:rsidRPr="00000000" w14:paraId="0000010E">
      <w:pPr>
        <w:spacing w:after="1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pStyle w:val="Heading2"/>
        <w:rPr>
          <w:b w:val="1"/>
          <w:bCs w:val="1"/>
        </w:rPr>
      </w:pPr>
      <w:bookmarkStart w:colFirst="0" w:colLast="0" w:name="_qxntbm7ktwp7" w:id="21"/>
      <w:bookmarkEnd w:id="21"/>
      <w:r w:rsidDel="00000000" w:rsidR="00000000" w:rsidRPr="00000000">
        <w:rPr>
          <w:b w:val="1"/>
          <w:bCs w:val="1"/>
          <w:rtl w:val="0"/>
        </w:rPr>
        <w:t xml:space="preserve">4.6 Voice of the customer</w:t>
      </w:r>
    </w:p>
    <w:p w:rsidR="00000000" w:rsidDel="00000000" w:rsidP="00000000" w:rsidRDefault="00000000" w:rsidRPr="00000000" w14:paraId="00000110">
      <w:pPr>
        <w:keepNext w:val="0"/>
        <w:keepLines w:val="0"/>
        <w:spacing w:after="140" w:before="320" w:line="360" w:lineRule="auto"/>
        <w:rPr/>
      </w:pPr>
      <w:r w:rsidDel="00000000" w:rsidR="00000000" w:rsidRPr="00000000">
        <w:rPr>
          <w:rtl w:val="0"/>
        </w:rPr>
        <w:t xml:space="preserve">Contractor interviews are in progress at the time of writing (protocol in Appendix D): four to six structured conversations covering what drives supplier choice, how speed weighs against price, and — because no live system exists to observe — each contractor's stated reaction to the hypothetical of an automated quote. Preliminary conversations consistently point to response speed and error-free technical submittals as decisive selection factors, which supports the direction of this design; verbatim quotations, including any dissenting views, will be incorporated once transcripts are complete (E, provisional). Stated preferences are the paper's only demand-side evidence, and Section 9.3 treats them accordingly: as an upper bound to be triangulated, not a measurement.</w:t>
      </w:r>
    </w:p>
    <w:p w:rsidR="00000000" w:rsidDel="00000000" w:rsidP="00000000" w:rsidRDefault="00000000" w:rsidRPr="00000000" w14:paraId="00000111">
      <w:pPr>
        <w:pStyle w:val="Heading2"/>
        <w:keepNext w:val="0"/>
        <w:keepLines w:val="0"/>
        <w:spacing w:after="140" w:before="320" w:line="360" w:lineRule="auto"/>
        <w:rPr/>
      </w:pPr>
      <w:bookmarkStart w:colFirst="0" w:colLast="0" w:name="_aoih3m617ng" w:id="22"/>
      <w:bookmarkEnd w:id="22"/>
      <w:r w:rsidDel="00000000" w:rsidR="00000000" w:rsidRPr="00000000">
        <w:rPr>
          <w:rtl w:val="0"/>
        </w:rPr>
        <w:t xml:space="preserve">4.7 Root causes</w:t>
      </w:r>
    </w:p>
    <w:p w:rsidR="00000000" w:rsidDel="00000000" w:rsidP="00000000" w:rsidRDefault="00000000" w:rsidRPr="00000000" w14:paraId="00000112">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Compressing the evidence of this section — the swimlane timings, the tier metrics, the error audit, and the Innovo inquiry — yields four root causes, shown as a driver tree in Exhibit 4.3. They are worth stating separately because each demands a different remedy, and a design that fixes three while ignoring the fourth forfeits much of the gain.</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2870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220" w:before="80" w:line="360" w:lineRule="auto"/>
        <w:rPr>
          <w:rFonts w:ascii="Times New Roman" w:cs="Times New Roman" w:eastAsia="Times New Roman" w:hAnsi="Times New Roman"/>
          <w:i w:val="1"/>
          <w:iCs w:val="1"/>
          <w:color w:val="595959"/>
          <w:sz w:val="24"/>
          <w:szCs w:val="24"/>
        </w:rPr>
      </w:pPr>
      <w:r w:rsidDel="00000000" w:rsidR="00000000" w:rsidRPr="00000000">
        <w:rPr>
          <w:rFonts w:ascii="Times New Roman" w:cs="Times New Roman" w:eastAsia="Times New Roman" w:hAnsi="Times New Roman"/>
          <w:i w:val="1"/>
          <w:iCs w:val="1"/>
          <w:color w:val="595959"/>
          <w:sz w:val="24"/>
          <w:szCs w:val="24"/>
          <w:rtl w:val="0"/>
        </w:rPr>
        <w:t xml:space="preserve">Exhibit 4.3. Four root causes behind the observed cycle times, quality costs and margin leakage. Each maps to a specific element of the proposed design in Section 7.</w:t>
      </w:r>
    </w:p>
    <w:p w:rsidR="00000000" w:rsidDel="00000000" w:rsidP="00000000" w:rsidRDefault="00000000" w:rsidRPr="00000000" w14:paraId="00000114">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Unstructured inputs. </w:t>
      </w:r>
      <w:r w:rsidDel="00000000" w:rsidR="00000000" w:rsidRPr="00000000">
        <w:rPr>
          <w:rFonts w:ascii="Times New Roman" w:cs="Times New Roman" w:eastAsia="Times New Roman" w:hAnsi="Times New Roman"/>
          <w:sz w:val="24"/>
          <w:szCs w:val="24"/>
          <w:rtl w:val="0"/>
        </w:rPr>
        <w:t xml:space="preserve">Every technical fact the process needs arrives locked inside a PDF, a scan, or a sentence in an email, and is released only by an estimator reading and re-keying it. This is where 1.5 hours of every Tier 2 inquiry goes, and where 41% of defects begin. The Innovo near-miss was this cause in miniature.</w:t>
      </w:r>
    </w:p>
    <w:p w:rsidR="00000000" w:rsidDel="00000000" w:rsidP="00000000" w:rsidRDefault="00000000" w:rsidRPr="00000000" w14:paraId="00000115">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serial expert bottleneck. </w:t>
      </w:r>
      <w:r w:rsidDel="00000000" w:rsidR="00000000" w:rsidRPr="00000000">
        <w:rPr>
          <w:rFonts w:ascii="Times New Roman" w:cs="Times New Roman" w:eastAsia="Times New Roman" w:hAnsi="Times New Roman"/>
          <w:sz w:val="24"/>
          <w:szCs w:val="24"/>
          <w:rtl w:val="0"/>
        </w:rPr>
        <w:t xml:space="preserve">One estimator owns an inquiry end to end, so work waits for a person rather than a task, and the scarcest expertise — two people for chilled water — sets the pace for the most valuable inquiries. The 86–88% queue share in Exhibit 4.2 is the signature of serial ownership, not of slow work.</w:t>
      </w:r>
    </w:p>
    <w:p w:rsidR="00000000" w:rsidDel="00000000" w:rsidP="00000000" w:rsidRDefault="00000000" w:rsidRPr="00000000" w14:paraId="00000116">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Clarification ping-pong. </w:t>
      </w:r>
      <w:r w:rsidDel="00000000" w:rsidR="00000000" w:rsidRPr="00000000">
        <w:rPr>
          <w:rFonts w:ascii="Times New Roman" w:cs="Times New Roman" w:eastAsia="Times New Roman" w:hAnsi="Times New Roman"/>
          <w:sz w:val="24"/>
          <w:szCs w:val="24"/>
          <w:rtl w:val="0"/>
        </w:rPr>
        <w:t xml:space="preserve">Gaps in the data are discovered mid-process, one at a time, each triggering a round trip to the contractor at a median cost of 41 working hours — and nothing alerts anyone when the answer lands. Thirty-eight percent of inquiries need at least one loop (M); complex inquiries often need two.</w:t>
      </w:r>
    </w:p>
    <w:p w:rsidR="00000000" w:rsidDel="00000000" w:rsidP="00000000" w:rsidRDefault="00000000" w:rsidRPr="00000000" w14:paraId="00000117">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pricing discipline. </w:t>
      </w:r>
      <w:r w:rsidDel="00000000" w:rsidR="00000000" w:rsidRPr="00000000">
        <w:rPr>
          <w:rFonts w:ascii="Times New Roman" w:cs="Times New Roman" w:eastAsia="Times New Roman" w:hAnsi="Times New Roman"/>
          <w:sz w:val="24"/>
          <w:szCs w:val="24"/>
          <w:rtl w:val="0"/>
        </w:rPr>
        <w:t xml:space="preserve">Discounts are set without reference points, producing a 4–18% spread on comparable work and the largest single leak in the system. Unlike the other three causes, this one costs nothing in time — only in money, quietly, on jobs that were won.</w:t>
      </w:r>
    </w:p>
    <w:p w:rsidR="00000000" w:rsidDel="00000000" w:rsidP="00000000" w:rsidRDefault="00000000" w:rsidRPr="00000000" w14:paraId="00000118">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four causes are the requirements specification for everything that follows. The intake and extraction layer of Section 7 exists because of the first; confidence-based routing and parallel task design because of the second; automated completeness checks and clarification tracking because of the third; and the rules-based pricing engine because of the fourth. The current state, measured honestly, is the design brief.</w:t>
      </w:r>
      <w:r w:rsidDel="00000000" w:rsidR="00000000" w:rsidRPr="00000000">
        <w:rPr>
          <w:rtl w:val="0"/>
        </w:rPr>
      </w:r>
    </w:p>
    <w:p w:rsidR="00000000" w:rsidDel="00000000" w:rsidP="00000000" w:rsidRDefault="00000000" w:rsidRPr="00000000" w14:paraId="00000119">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pStyle w:val="Heading1"/>
        <w:spacing w:after="100" w:line="360" w:lineRule="auto"/>
        <w:rPr/>
      </w:pPr>
      <w:bookmarkStart w:colFirst="0" w:colLast="0" w:name="_jzhsux983x60" w:id="23"/>
      <w:bookmarkEnd w:id="23"/>
      <w:r w:rsidDel="00000000" w:rsidR="00000000" w:rsidRPr="00000000">
        <w:rPr>
          <w:rtl w:val="0"/>
        </w:rPr>
        <w:t xml:space="preserve">Section 5 — Literature &amp; Industry Context</w:t>
      </w:r>
    </w:p>
    <w:p w:rsidR="00000000" w:rsidDel="00000000" w:rsidP="00000000" w:rsidRDefault="00000000" w:rsidRPr="00000000" w14:paraId="0000011C">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draws on four bodies of work, and a fifth that grounds its method. Each is treated instrumentally — a source appears here only because a later section leans on it — and the review's purpose is to establish what is already known so that the paper's contribution stands on settled ground.</w:t>
      </w:r>
      <w:r w:rsidDel="00000000" w:rsidR="00000000" w:rsidRPr="00000000">
        <w:rPr>
          <w:rtl w:val="0"/>
        </w:rPr>
      </w:r>
    </w:p>
    <w:p w:rsidR="00000000" w:rsidDel="00000000" w:rsidP="00000000" w:rsidRDefault="00000000" w:rsidRPr="00000000" w14:paraId="0000011D">
      <w:pPr>
        <w:pStyle w:val="Heading2"/>
        <w:keepNext w:val="0"/>
        <w:keepLines w:val="0"/>
        <w:spacing w:after="140" w:before="300" w:line="360" w:lineRule="auto"/>
        <w:rPr/>
      </w:pPr>
      <w:bookmarkStart w:colFirst="0" w:colLast="0" w:name="_42bbt1di49bj" w:id="24"/>
      <w:bookmarkEnd w:id="24"/>
      <w:r w:rsidDel="00000000" w:rsidR="00000000" w:rsidRPr="00000000">
        <w:rPr>
          <w:rtl w:val="0"/>
        </w:rPr>
        <w:t xml:space="preserve">5.1 Digitization of B2B distribution and the disintermediation debate</w:t>
      </w:r>
    </w:p>
    <w:p w:rsidR="00000000" w:rsidDel="00000000" w:rsidP="00000000" w:rsidRDefault="00000000" w:rsidRPr="00000000" w14:paraId="0000011E">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oldest question this paper raises is whether digitizing a distributor's core function hastens the distributor's own removal. Early electronic-commerce research answered yes: online markets cut transaction costs and let manufacturers deal directly with buyers (Benjamin and Wigand, 1995). The counter-position followed immediately — intermediaries do more than pass product, and new electronic intermediaries appear even as old ones dissolve (Sarkar, Butler and Steinfield, 1995). Chircu and Kauffman (2000) reconciled the two as a cycle of intermediation–disintermediation–reintermediation: displaced incumbents can re-enter by absorbing the technology into the functions that made them valuable, provided they move before a substitute occupies the position. Two decades of wholesale-distribution practice broadly confirms the pattern: distribution consolidated and digitized rather than disappeared, with the gains accruing to distributors that made their differentiating capability digital first.</w:t>
      </w:r>
      <w:r w:rsidDel="00000000" w:rsidR="00000000" w:rsidRPr="00000000">
        <w:rPr>
          <w:rtl w:val="0"/>
        </w:rPr>
      </w:r>
    </w:p>
    <w:p w:rsidR="00000000" w:rsidDel="00000000" w:rsidP="00000000" w:rsidRDefault="00000000" w:rsidRPr="00000000" w14:paraId="0000011F">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relevance is direct: this study proposes to digitize the first of the three pillars identified in Section 2, and the IDR framing turns that from an efficiency question into the strategic one Section 10 resolves — whether automating technical expertise makes the distributor the platform of record for its market, or merely writes the manual for its own replacement. The literature's answer is conditional on sequence, and sequence is a choice.</w:t>
      </w:r>
    </w:p>
    <w:p w:rsidR="00000000" w:rsidDel="00000000" w:rsidP="00000000" w:rsidRDefault="00000000" w:rsidRPr="00000000" w14:paraId="00000120">
      <w:pPr>
        <w:pStyle w:val="Heading2"/>
        <w:keepNext w:val="0"/>
        <w:keepLines w:val="0"/>
        <w:spacing w:after="140" w:before="300" w:line="360" w:lineRule="auto"/>
        <w:rPr/>
      </w:pPr>
      <w:bookmarkStart w:colFirst="0" w:colLast="0" w:name="_s00upgwlk8n4" w:id="25"/>
      <w:bookmarkEnd w:id="25"/>
      <w:r w:rsidDel="00000000" w:rsidR="00000000" w:rsidRPr="00000000">
        <w:rPr>
          <w:rtl w:val="0"/>
        </w:rPr>
        <w:t xml:space="preserve">5.2 CPQ systems and their limits for engineered-to-spec product</w:t>
      </w:r>
    </w:p>
    <w:p w:rsidR="00000000" w:rsidDel="00000000" w:rsidP="00000000" w:rsidRDefault="00000000" w:rsidRPr="00000000" w14:paraId="00000121">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Configure-price-quote software is the commercial category closest to this paper's proposal: where a product family can be described by enumerable options and compatibility rules, a configurator reliably replaces expert intervention in the sales process (Forza and Salvador, 2002; 2007) — guided configuration, rule-based pricing and automated quote assembly on top of structured inputs.</w:t>
      </w:r>
      <w:r w:rsidDel="00000000" w:rsidR="00000000" w:rsidRPr="00000000">
        <w:rPr>
          <w:rtl w:val="0"/>
        </w:rPr>
      </w:r>
    </w:p>
    <w:p w:rsidR="00000000" w:rsidDel="00000000" w:rsidP="00000000" w:rsidRDefault="00000000" w:rsidRPr="00000000" w14:paraId="00000122">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qualifier carries the weight: structured inputs. CPQ assumes the seller already knows, in machine-readable form, what the customer needs; engineered-to-order environments violate that at both ends, with requirements arriving as drawings and specifications rather than option selections, and the mapping to product running through engineering calculation rather than compatibility rules (Hicks, McGovern and Earl, 2000). A pump distributor's RFQ is a textbook instance. That is why Section 6 treats CPQ as a component of the proposed design — the right machinery for pricing discipline and quote assembly — rather than as an alternative to it: what the category has never solved, and what this design must, is the unstructured front door.</w:t>
      </w:r>
    </w:p>
    <w:p w:rsidR="00000000" w:rsidDel="00000000" w:rsidP="00000000" w:rsidRDefault="00000000" w:rsidRPr="00000000" w14:paraId="00000123">
      <w:pPr>
        <w:pStyle w:val="Heading2"/>
        <w:keepNext w:val="0"/>
        <w:keepLines w:val="0"/>
        <w:spacing w:after="140" w:before="300" w:line="360" w:lineRule="auto"/>
        <w:rPr/>
      </w:pPr>
      <w:bookmarkStart w:colFirst="0" w:colLast="0" w:name="_nmxliyy56svv" w:id="26"/>
      <w:bookmarkEnd w:id="26"/>
      <w:r w:rsidDel="00000000" w:rsidR="00000000" w:rsidRPr="00000000">
        <w:rPr>
          <w:rtl w:val="0"/>
        </w:rPr>
        <w:t xml:space="preserve">5.3 AI document understanding: what the benchmarks do and do not promise</w:t>
      </w:r>
    </w:p>
    <w:p w:rsidR="00000000" w:rsidDel="00000000" w:rsidP="00000000" w:rsidRDefault="00000000" w:rsidRPr="00000000" w14:paraId="00000124">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this study fields no prototype, published evidence on machine reading of business documents is load-bearing: it supplies the priors the 8.1 audit maps onto the distributor's own document mix, and it must be reported with both its flattering and its unflattering sides. The flattering side is genuine: layout-aware and vision-language models have pushed the standard document-understanding benchmarks to levels out of reach five years ago, with the strongest pipelines answering well above 90% of items on the principal document-QA benchmark (Xu et al., 2020; Kim et al., 2022; Mathew et al., 2021; Jaume et al., 2019).</w:t>
      </w:r>
      <w:r w:rsidDel="00000000" w:rsidR="00000000" w:rsidRPr="00000000">
        <w:rPr>
          <w:rtl w:val="0"/>
        </w:rPr>
      </w:r>
    </w:p>
    <w:p w:rsidR="00000000" w:rsidDel="00000000" w:rsidP="00000000" w:rsidRDefault="00000000" w:rsidRPr="00000000" w14:paraId="00000125">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unflattering side matters more here. Benchmark corpora are dominated by curated, single-genre documents, while recent enterprise-extraction evaluations show accuracy degrading sharply as schemas widen and documents lengthen — models produce validly structured output whose values are wrong. The distributor's reality sits at the hard end of that spectrum: multi-column schedules scanned as images, specification extracts running to dozens of pages, units and symbols that differ by consultant. And one piece of arithmetic reframes even optimistic per-field accuracy: at 95% per field, a twelve-field schema is fully correct only about 54% of the time (0.95¹²). That arithmetic — not distrust of the models — is why the Section 7 design carries per-field confidence scores, validation gates and human review as structural features rather than as caution, and why the 8.1 audit exists: to establish where on the published spectrum this distributor's documents actually fall.</w:t>
      </w:r>
    </w:p>
    <w:p w:rsidR="00000000" w:rsidDel="00000000" w:rsidP="00000000" w:rsidRDefault="00000000" w:rsidRPr="00000000" w14:paraId="00000126">
      <w:pPr>
        <w:pStyle w:val="Heading2"/>
        <w:keepNext w:val="0"/>
        <w:keepLines w:val="0"/>
        <w:spacing w:after="140" w:before="300" w:line="360" w:lineRule="auto"/>
        <w:rPr/>
      </w:pPr>
      <w:bookmarkStart w:colFirst="0" w:colLast="0" w:name="_z5otghtv6eok" w:id="27"/>
      <w:bookmarkEnd w:id="27"/>
      <w:r w:rsidDel="00000000" w:rsidR="00000000" w:rsidRPr="00000000">
        <w:rPr>
          <w:rtl w:val="0"/>
        </w:rPr>
        <w:t xml:space="preserve">5.4 Human-in-the-loop automation</w:t>
      </w:r>
    </w:p>
    <w:p w:rsidR="00000000" w:rsidDel="00000000" w:rsidP="00000000" w:rsidRDefault="00000000" w:rsidRPr="00000000" w14:paraId="00000127">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decades of human-factors research warns that the failure mode of partial automation is rarely the machine's error alone; it is the human's changed relationship to the task. Operators over-rely on automation that is usually right and abandon automation that has embarrassed them, in neither case calibrating to its actual reliability (Parasuraman and Riley, 1997). Automation bias — accepting the machine's suggestion in place of one's own vigilance — produces measurable errors even among trained professionals (Goddard, Roudsari and Wyatt, 2012), and strengthens when the human feels less accountable for the outcome (Skitka, Mosier and Burdick, 1999). The design response is to set the level of automation per function, deliberately (Parasuraman, Sheridan and Wickens, 2000).</w:t>
      </w:r>
      <w:r w:rsidDel="00000000" w:rsidR="00000000" w:rsidRPr="00000000">
        <w:rPr>
          <w:rtl w:val="0"/>
        </w:rPr>
      </w:r>
    </w:p>
    <w:p w:rsidR="00000000" w:rsidDel="00000000" w:rsidP="00000000" w:rsidRDefault="00000000" w:rsidRPr="00000000" w14:paraId="00000128">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routing design of 7.7 applies these findings directly: confidence is displayed so trust has something to calibrate against; uncertain fields arrive flagged, forcing engagement where it is needed; release is an explicit act with a name attached; and the automation level is set per tier and per function. The literature's uncomfortable implication is retained rather than argued away — a reviewer who approves ninety-nine good drafts is primed to approve the hundredth, and the value-gated release rules and override logging of 7.7 are the design's admission of it.</w:t>
      </w:r>
    </w:p>
    <w:p w:rsidR="00000000" w:rsidDel="00000000" w:rsidP="00000000" w:rsidRDefault="00000000" w:rsidRPr="00000000" w14:paraId="00000129">
      <w:pPr>
        <w:pStyle w:val="Heading2"/>
        <w:keepNext w:val="0"/>
        <w:keepLines w:val="0"/>
        <w:spacing w:after="140" w:before="300" w:line="360" w:lineRule="auto"/>
        <w:rPr/>
      </w:pPr>
      <w:bookmarkStart w:colFirst="0" w:colLast="0" w:name="_n6vqmgwqsijn" w:id="28"/>
      <w:bookmarkEnd w:id="28"/>
      <w:r w:rsidDel="00000000" w:rsidR="00000000" w:rsidRPr="00000000">
        <w:rPr>
          <w:rtl w:val="0"/>
        </w:rPr>
        <w:t xml:space="preserve">5.5 Ex-ante evaluation and simulation in operations</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PLACEHOLDER — to be completed. </w:t>
      </w:r>
      <w:r w:rsidDel="00000000" w:rsidR="00000000" w:rsidRPr="00000000">
        <w:rPr>
          <w:rFonts w:ascii="Times New Roman" w:cs="Times New Roman" w:eastAsia="Times New Roman" w:hAnsi="Times New Roman"/>
          <w:sz w:val="24"/>
          <w:szCs w:val="24"/>
          <w:rtl w:val="0"/>
        </w:rPr>
        <w:t xml:space="preserve">This subsection will ground the method of Section 8: the use of business-process simulation to evaluate an operational investment before it is built. It will (i) briefly situate discrete-event and Monte Carlo simulation of service operations in the operations-management literature, (ii) note precedents for simulation-based investment cases, and (iii) introduce the authors' own operations-simulation platform — its modelling approach, calibration method, and validation logic — which is the instrument used in 8.2. Content is pending documentation of the platform's methodology and will be supplied by the authors; two to three citations are expected to be sufficient. Target length: one paragraph.</w:t>
      </w:r>
    </w:p>
    <w:p w:rsidR="00000000" w:rsidDel="00000000" w:rsidP="00000000" w:rsidRDefault="00000000" w:rsidRPr="00000000" w14:paraId="0000012B">
      <w:pPr>
        <w:spacing w:after="80" w:line="360" w:lineRule="auto"/>
        <w:ind w:left="700" w:hanging="2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pStyle w:val="Heading1"/>
        <w:keepNext w:val="0"/>
        <w:keepLines w:val="0"/>
        <w:spacing w:after="140" w:before="0" w:line="360" w:lineRule="auto"/>
        <w:rPr>
          <w:rFonts w:ascii="Times New Roman" w:cs="Times New Roman" w:eastAsia="Times New Roman" w:hAnsi="Times New Roman"/>
          <w:b w:val="1"/>
          <w:bCs w:val="1"/>
          <w:color w:val="1f4e5f"/>
          <w:sz w:val="24"/>
          <w:szCs w:val="24"/>
        </w:rPr>
      </w:pPr>
      <w:bookmarkStart w:colFirst="0" w:colLast="0" w:name="_a77gw4ri6w65" w:id="29"/>
      <w:bookmarkEnd w:id="29"/>
      <w:r w:rsidDel="00000000" w:rsidR="00000000" w:rsidRPr="00000000">
        <w:rPr>
          <w:rFonts w:ascii="Times New Roman" w:cs="Times New Roman" w:eastAsia="Times New Roman" w:hAnsi="Times New Roman"/>
          <w:b w:val="1"/>
          <w:bCs w:val="1"/>
          <w:color w:val="1f4e5f"/>
          <w:sz w:val="24"/>
          <w:szCs w:val="24"/>
          <w:rtl w:val="0"/>
        </w:rPr>
        <w:t xml:space="preserve">Section 6 — Solution Options &amp; Design Choice</w:t>
      </w:r>
      <w:r w:rsidDel="00000000" w:rsidR="00000000" w:rsidRPr="00000000">
        <w:rPr>
          <w:rtl w:val="0"/>
        </w:rPr>
      </w:r>
    </w:p>
    <w:p w:rsidR="00000000" w:rsidDel="00000000" w:rsidP="00000000" w:rsidRDefault="00000000" w:rsidRPr="00000000" w14:paraId="0000012D">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6f9wc27yqwav" w:id="30"/>
      <w:bookmarkEnd w:id="30"/>
      <w:r w:rsidDel="00000000" w:rsidR="00000000" w:rsidRPr="00000000">
        <w:rPr>
          <w:rFonts w:ascii="Times New Roman" w:cs="Times New Roman" w:eastAsia="Times New Roman" w:hAnsi="Times New Roman"/>
          <w:b w:val="1"/>
          <w:bCs w:val="1"/>
          <w:color w:val="2e6e7e"/>
          <w:sz w:val="24"/>
          <w:szCs w:val="24"/>
          <w:rtl w:val="0"/>
        </w:rPr>
        <w:t xml:space="preserve">6.1 Option set — five genuine alternatives</w:t>
      </w:r>
    </w:p>
    <w:p w:rsidR="00000000" w:rsidDel="00000000" w:rsidP="00000000" w:rsidRDefault="00000000" w:rsidRPr="00000000" w14:paraId="0000012E">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 Status quo + </w:t>
      </w:r>
      <w:r w:rsidDel="00000000" w:rsidR="00000000" w:rsidRPr="00000000">
        <w:rPr>
          <w:rFonts w:ascii="Times New Roman" w:cs="Times New Roman" w:eastAsia="Times New Roman" w:hAnsi="Times New Roman"/>
          <w:sz w:val="24"/>
          <w:szCs w:val="24"/>
          <w:rtl w:val="0"/>
        </w:rPr>
        <w:t xml:space="preserve">(hire 1–2 engineers) — the honest baseline competitor; cheap, fast, low-risk, doesn’t scale.</w:t>
      </w:r>
      <w:r w:rsidDel="00000000" w:rsidR="00000000" w:rsidRPr="00000000">
        <w:rPr>
          <w:rtl w:val="0"/>
        </w:rPr>
      </w:r>
    </w:p>
    <w:p w:rsidR="00000000" w:rsidDel="00000000" w:rsidP="00000000" w:rsidRDefault="00000000" w:rsidRPr="00000000" w14:paraId="0000012F">
      <w:pPr>
        <w:spacing w:after="80" w:line="360" w:lineRule="auto"/>
        <w:ind w:left="700" w:hanging="2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the oldest way of quoting pumps, and some distributors still work this way today. The engineer receives the RFQ and reads through the details like drawings, AutoCAD files, schedules, and specifications. It is all done manually to pull out the key details like flow, head, efficiency, material, orientation, and seal type etc. If something is missing, the engineer raises an RFI with the contractor, consultant or the manufacturer. They have to follow up manually with reminders. This can happen at any point in the process, sometimes before the calculations and sometimes during. The engineer then does the head loss calculations by hand. With no selection software, the engineer opens the manufacturer's manuals and pump catalogues, reads the pump curves off the page, and picks the model by hand.</w:t>
      </w:r>
    </w:p>
    <w:p w:rsidR="00000000" w:rsidDel="00000000" w:rsidP="00000000" w:rsidRDefault="00000000" w:rsidRPr="00000000" w14:paraId="0000013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small number of simple inquiries, it works. But everything is manual, so the output depends entirely on how many engineers are available. It is slow, and it does not scale without hiring more people. Adding people is not easy. As shown in Section 2.2, a qualified estimator costs around €22,000 a year. It takes two to three months to hire one, and another three to four months before they are fully productive. So even when the business decides to scale, the extra capacity comes slowly and at a real cost. On top of this, the process is prone to errors that can happen at several points, like while reading the files, doing the calculations, and even during matching the curves by hand.</w:t>
      </w:r>
    </w:p>
    <w:p w:rsidR="00000000" w:rsidDel="00000000" w:rsidP="00000000" w:rsidRDefault="00000000" w:rsidRPr="00000000" w14:paraId="00000132">
      <w:pPr>
        <w:spacing w:after="80" w:line="360" w:lineRule="auto"/>
        <w:ind w:left="700" w:hanging="2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 Manufacturer selection tools</w:t>
      </w:r>
      <w:r w:rsidDel="00000000" w:rsidR="00000000" w:rsidRPr="00000000">
        <w:rPr>
          <w:rFonts w:ascii="Times New Roman" w:cs="Times New Roman" w:eastAsia="Times New Roman" w:hAnsi="Times New Roman"/>
          <w:sz w:val="24"/>
          <w:szCs w:val="24"/>
          <w:rtl w:val="0"/>
        </w:rPr>
        <w:t xml:space="preserve"> (Grundfos, Wilo, KSB, Xylem publish selectors/APIs) — free pump-curve logic; single-vendor bias, no intake automation.</w:t>
      </w:r>
      <w:r w:rsidDel="00000000" w:rsidR="00000000" w:rsidRPr="00000000">
        <w:rPr>
          <w:rtl w:val="0"/>
        </w:rPr>
      </w:r>
    </w:p>
    <w:p w:rsidR="00000000" w:rsidDel="00000000" w:rsidP="00000000" w:rsidRDefault="00000000" w:rsidRPr="00000000" w14:paraId="00000134">
      <w:pPr>
        <w:spacing w:after="80" w:line="360" w:lineRule="auto"/>
        <w:ind w:left="700" w:hanging="2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Option B — Manual Calculation with Manufacturer Selection Software</w:t>
      </w:r>
    </w:p>
    <w:p w:rsidR="00000000" w:rsidDel="00000000" w:rsidP="00000000" w:rsidRDefault="00000000" w:rsidRPr="00000000" w14:paraId="000001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option </w:t>
      </w:r>
      <w:r w:rsidDel="00000000" w:rsidR="00000000" w:rsidRPr="00000000">
        <w:rPr>
          <w:rFonts w:ascii="Times New Roman" w:cs="Times New Roman" w:eastAsia="Times New Roman" w:hAnsi="Times New Roman"/>
          <w:sz w:val="24"/>
          <w:szCs w:val="24"/>
          <w:rtl w:val="0"/>
        </w:rPr>
        <w:t xml:space="preserve">works the same way as Option A up to the selection step. The engineer still receives the RFQ, reads through the drawings, AutoCAD files, schedules, and specifications manually. It is all done manually to pull out details like flow, head, efficiency, material, orientation, and seal type etc. RFIs are still raised by hand when information is missing, with manual follow ups. The head loss calculations are still done by hand.</w:t>
      </w:r>
    </w:p>
    <w:p w:rsidR="00000000" w:rsidDel="00000000" w:rsidP="00000000" w:rsidRDefault="00000000" w:rsidRPr="00000000" w14:paraId="0000013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difference comes at the selection step. Instead of opening the manufacturer's manuals and reading the pump curves off the page, the engineer enters the calculated values into the manufacturer's selection software. Companies like Grundfos, Wilo, KSB, and Xylem all publish these tools. The software takes the inputs and returns a range of suitable pump models. The engineer then picks from that range.</w:t>
      </w:r>
    </w:p>
    <w:p w:rsidR="00000000" w:rsidDel="00000000" w:rsidP="00000000" w:rsidRDefault="00000000" w:rsidRPr="00000000" w14:paraId="0000013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how most distributors work today. The selection software removes around 20 to 30 percent of the manual effort (E, estimator interviews), mainly the curve reading and model matching that used to be done by hand. It also makes the selection more reliable at that step. But the rest of the process is still manual. The intake, the reading, the calculations, and the RFIs are all still done by people. So the same capacity limits and the same chances of error remain across most of the process.</w:t>
      </w:r>
    </w:p>
    <w:p w:rsidR="00000000" w:rsidDel="00000000" w:rsidP="00000000" w:rsidRDefault="00000000" w:rsidRPr="00000000" w14:paraId="00000139">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 Off-the-shelf CPQ</w:t>
      </w:r>
      <w:r w:rsidDel="00000000" w:rsidR="00000000" w:rsidRPr="00000000">
        <w:rPr>
          <w:rFonts w:ascii="Times New Roman" w:cs="Times New Roman" w:eastAsia="Times New Roman" w:hAnsi="Times New Roman"/>
          <w:sz w:val="24"/>
          <w:szCs w:val="24"/>
          <w:rtl w:val="0"/>
        </w:rPr>
        <w:t xml:space="preserve"> — strong on pricing and quote assembly; weak on unstructured intake and hydraulic engineering.</w:t>
      </w:r>
    </w:p>
    <w:p w:rsidR="00000000" w:rsidDel="00000000" w:rsidP="00000000" w:rsidRDefault="00000000" w:rsidRPr="00000000" w14:paraId="0000013A">
      <w:pPr>
        <w:spacing w:after="80" w:line="360" w:lineRule="auto"/>
        <w:ind w:left="700" w:hanging="2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CPQ stands for Configure, Price, Quote. It is a category of sales software made to automate the commercial side of quoting. It assembles the line items, applies the pricing rules and discounts, handles approvals, and generates a clean quote document. It is good at the pricing and quote assembly end of the process.</w:t>
      </w:r>
    </w:p>
    <w:p w:rsidR="00000000" w:rsidDel="00000000" w:rsidP="00000000" w:rsidRDefault="00000000" w:rsidRPr="00000000" w14:paraId="0000013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is that it solves the wrong end for us. CPQ is built for businesses with a smaller product basket, where the sales team already knows what to offer and just needs to put the quotation together. It cannot read an RFQ. It cannot read a specification or an AutoCAD file. It has no way to work out which pumps are required. All of that, the intake, the calculations, and the pump selection, still has to be done manually before CPQ can do anything at all.</w:t>
      </w:r>
    </w:p>
    <w:p w:rsidR="00000000" w:rsidDel="00000000" w:rsidP="00000000" w:rsidRDefault="00000000" w:rsidRPr="00000000" w14:paraId="0000013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an off-the-shelf CPQ tool addresses only around 10 to 15 percent of the touch time measured in Section 4 (E) — the pricing and quote-assembly tail. It automates the sending of the quotation, but everything before that stays manual. These tools are also expensive to buy off the shelf, which makes little sense when they leave the hardest part of the work untouched. For this reason it is not a real competitor to what we are proposing. The pricing engine idea behind CPQ is useful, and we do carry it into our proposed hybrid model</w:t>
      </w:r>
    </w:p>
    <w:p w:rsidR="00000000" w:rsidDel="00000000" w:rsidP="00000000" w:rsidRDefault="00000000" w:rsidRPr="00000000" w14:paraId="0000013E">
      <w:pPr>
        <w:spacing w:after="80" w:line="360" w:lineRule="auto"/>
        <w:ind w:left="700" w:hanging="2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 Full custom AI platform</w:t>
      </w:r>
      <w:r w:rsidDel="00000000" w:rsidR="00000000" w:rsidRPr="00000000">
        <w:rPr>
          <w:rFonts w:ascii="Times New Roman" w:cs="Times New Roman" w:eastAsia="Times New Roman" w:hAnsi="Times New Roman"/>
          <w:sz w:val="24"/>
          <w:szCs w:val="24"/>
          <w:rtl w:val="0"/>
        </w:rPr>
        <w:t xml:space="preserve"> — maximal capability, maximal cost and risk.</w:t>
      </w:r>
    </w:p>
    <w:p w:rsidR="00000000" w:rsidDel="00000000" w:rsidP="00000000" w:rsidRDefault="00000000" w:rsidRPr="00000000" w14:paraId="00000140">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 Hybrid (proposed)</w:t>
      </w:r>
      <w:r w:rsidDel="00000000" w:rsidR="00000000" w:rsidRPr="00000000">
        <w:rPr>
          <w:rFonts w:ascii="Times New Roman" w:cs="Times New Roman" w:eastAsia="Times New Roman" w:hAnsi="Times New Roman"/>
          <w:sz w:val="24"/>
          <w:szCs w:val="24"/>
          <w:rtl w:val="0"/>
        </w:rPr>
        <w:t xml:space="preserve">: LLM extraction + deterministic calculation engine + manufacturer selection APIs + rules-based pricing + confidence-routed human review.</w:t>
      </w:r>
      <w:r w:rsidDel="00000000" w:rsidR="00000000" w:rsidRPr="00000000">
        <w:rPr>
          <w:rtl w:val="0"/>
        </w:rPr>
      </w:r>
    </w:p>
    <w:p w:rsidR="00000000" w:rsidDel="00000000" w:rsidP="00000000" w:rsidRDefault="00000000" w:rsidRPr="00000000" w14:paraId="00000141">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k5d8g2xy0ot8" w:id="31"/>
      <w:bookmarkEnd w:id="31"/>
      <w:r w:rsidDel="00000000" w:rsidR="00000000" w:rsidRPr="00000000">
        <w:rPr>
          <w:rFonts w:ascii="Times New Roman" w:cs="Times New Roman" w:eastAsia="Times New Roman" w:hAnsi="Times New Roman"/>
          <w:b w:val="1"/>
          <w:bCs w:val="1"/>
          <w:color w:val="2e6e7e"/>
          <w:sz w:val="24"/>
          <w:szCs w:val="24"/>
          <w:rtl w:val="0"/>
        </w:rPr>
        <w:t xml:space="preserve">6.2 Decision matrix</w:t>
      </w:r>
    </w:p>
    <w:p w:rsidR="00000000" w:rsidDel="00000000" w:rsidP="00000000" w:rsidRDefault="00000000" w:rsidRPr="00000000" w14:paraId="00000142">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 cycle-time impact, margin impact, error-rate impact, cost, implementation risk, strategic optionality (data asset). Score honestly — </w:t>
      </w:r>
      <w:r w:rsidDel="00000000" w:rsidR="00000000" w:rsidRPr="00000000">
        <w:rPr>
          <w:rFonts w:ascii="Times New Roman" w:cs="Times New Roman" w:eastAsia="Times New Roman" w:hAnsi="Times New Roman"/>
          <w:b w:val="1"/>
          <w:bCs w:val="1"/>
          <w:sz w:val="24"/>
          <w:szCs w:val="24"/>
          <w:rtl w:val="0"/>
        </w:rPr>
        <w:t xml:space="preserve">Option A must win on cost and risk.</w:t>
      </w:r>
      <w:r w:rsidDel="00000000" w:rsidR="00000000" w:rsidRPr="00000000">
        <w:rPr>
          <w:rFonts w:ascii="Times New Roman" w:cs="Times New Roman" w:eastAsia="Times New Roman" w:hAnsi="Times New Roman"/>
          <w:sz w:val="24"/>
          <w:szCs w:val="24"/>
          <w:rtl w:val="0"/>
        </w:rPr>
        <w:t xml:space="preserve"> E’s case rests on scalability and the data asset, with B/C as components of E rather than competitors.</w:t>
      </w:r>
      <w:r w:rsidDel="00000000" w:rsidR="00000000" w:rsidRPr="00000000">
        <w:rPr>
          <w:rtl w:val="0"/>
        </w:rPr>
      </w:r>
    </w:p>
    <w:p w:rsidR="00000000" w:rsidDel="00000000" w:rsidP="00000000" w:rsidRDefault="00000000" w:rsidRPr="00000000" w14:paraId="00000143">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g5f48iof5tla" w:id="32"/>
      <w:bookmarkEnd w:id="32"/>
      <w:r w:rsidDel="00000000" w:rsidR="00000000" w:rsidRPr="00000000">
        <w:rPr>
          <w:rFonts w:ascii="Times New Roman" w:cs="Times New Roman" w:eastAsia="Times New Roman" w:hAnsi="Times New Roman"/>
          <w:b w:val="1"/>
          <w:bCs w:val="1"/>
          <w:color w:val="2e6e7e"/>
          <w:sz w:val="24"/>
          <w:szCs w:val="24"/>
          <w:rtl w:val="0"/>
        </w:rPr>
        <w:t xml:space="preserve">6.3 The concession paragraph</w:t>
      </w:r>
    </w:p>
    <w:p w:rsidR="00000000" w:rsidDel="00000000" w:rsidP="00000000" w:rsidRDefault="00000000" w:rsidRPr="00000000" w14:paraId="00000144">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plainly what the rejected options do better and under what conditions you would recommend Option A instead (“if RFQ volume were below X per month, hiring dominates”). In an ex-ante paper this paragraph matters even more: it proves the conclusion was not predetermined.</w:t>
      </w:r>
      <w:r w:rsidDel="00000000" w:rsidR="00000000" w:rsidRPr="00000000">
        <w:rPr>
          <w:rtl w:val="0"/>
        </w:rPr>
      </w:r>
    </w:p>
    <w:p w:rsidR="00000000" w:rsidDel="00000000" w:rsidP="00000000" w:rsidRDefault="00000000" w:rsidRPr="00000000" w14:paraId="00000145">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pStyle w:val="Heading1"/>
        <w:spacing w:after="80" w:line="360" w:lineRule="auto"/>
        <w:rPr/>
      </w:pPr>
      <w:bookmarkStart w:colFirst="0" w:colLast="0" w:name="_9dtlx7rkugq1" w:id="33"/>
      <w:bookmarkEnd w:id="33"/>
      <w:r w:rsidDel="00000000" w:rsidR="00000000" w:rsidRPr="00000000">
        <w:rPr>
          <w:rtl w:val="0"/>
        </w:rPr>
        <w:t xml:space="preserve">Section 7 — Proposed To-Be Process &amp; Solution Architecture</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12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Evidence status: </w:t>
      </w:r>
      <w:r w:rsidDel="00000000" w:rsidR="00000000" w:rsidRPr="00000000">
        <w:rPr>
          <w:rFonts w:ascii="Times New Roman" w:cs="Times New Roman" w:eastAsia="Times New Roman" w:hAnsi="Times New Roman"/>
          <w:sz w:val="24"/>
          <w:szCs w:val="24"/>
          <w:rtl w:val="0"/>
        </w:rPr>
        <w:t xml:space="preserve">everything in this section is a proposal; nothing has been built. To-be times and behaviours are projections, each carrying the ID of the Appendix A assumption that supplies its value, established by the audit and simulation of Section 8. Figures carried over from Section 4 remain measured. Exhibits 7.1–7.3 are placed in Appendix B and referenced from the text; the RFQ schema table is in Appendix G.</w:t>
      </w:r>
    </w:p>
    <w:p w:rsidR="00000000" w:rsidDel="00000000" w:rsidP="00000000" w:rsidRDefault="00000000" w:rsidRPr="00000000" w14:paraId="00000148">
      <w:pPr>
        <w:pStyle w:val="Heading2"/>
        <w:keepNext w:val="0"/>
        <w:keepLines w:val="0"/>
        <w:spacing w:after="100" w:before="240" w:line="360" w:lineRule="auto"/>
        <w:rPr/>
      </w:pPr>
      <w:bookmarkStart w:colFirst="0" w:colLast="0" w:name="_q3te71wmtr0h" w:id="34"/>
      <w:bookmarkEnd w:id="34"/>
      <w:r w:rsidDel="00000000" w:rsidR="00000000" w:rsidRPr="00000000">
        <w:rPr>
          <w:rtl w:val="0"/>
        </w:rPr>
        <w:t xml:space="preserve">7.1 Design principles, stated as constraints</w:t>
      </w:r>
    </w:p>
    <w:p w:rsidR="00000000" w:rsidDel="00000000" w:rsidP="00000000" w:rsidRDefault="00000000" w:rsidRPr="00000000" w14:paraId="00000149">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 referred to hereafter as QuoteBench — is governed by five constraints, written as obligations rather than aspirations.</w:t>
      </w:r>
      <w:r w:rsidDel="00000000" w:rsidR="00000000" w:rsidRPr="00000000">
        <w:rPr>
          <w:rFonts w:ascii="Times New Roman" w:cs="Times New Roman" w:eastAsia="Times New Roman" w:hAnsi="Times New Roman"/>
          <w:sz w:val="24"/>
          <w:szCs w:val="24"/>
          <w:rtl w:val="0"/>
        </w:rPr>
        <w:t xml:space="preserve"> First, automate extraction and calculation; augment judgement — the system takes over the reading, transcription and arithmetic where Section 4.4 located 41% of defects, and presents judgement calls to a person. Second, no quote leaves below defined confidence without human review; in Phase 1 the gate is absolute. Third, every automated decision is auditable — each extracted field, calculation input, ranked option and price logged with source, confidence and timestamp, feeding the liability analysis of 11.3. Fourth, graceful degradation: on any failure, the inquiry drops into the Section 4 manual process with partial work attached. Fifth, every human correction is captured as labelled training data — the constraint that turns review burden into the flywheel of 7.7.</w:t>
      </w:r>
    </w:p>
    <w:p w:rsidR="00000000" w:rsidDel="00000000" w:rsidP="00000000" w:rsidRDefault="00000000" w:rsidRPr="00000000" w14:paraId="0000014A">
      <w:pPr>
        <w:pStyle w:val="Heading2"/>
        <w:keepNext w:val="0"/>
        <w:keepLines w:val="0"/>
        <w:spacing w:after="100" w:before="240" w:line="360" w:lineRule="auto"/>
        <w:rPr/>
      </w:pPr>
      <w:bookmarkStart w:colFirst="0" w:colLast="0" w:name="_2q2uhykkage8" w:id="35"/>
      <w:bookmarkEnd w:id="35"/>
      <w:r w:rsidDel="00000000" w:rsidR="00000000" w:rsidRPr="00000000">
        <w:rPr>
          <w:rtl w:val="0"/>
        </w:rPr>
        <w:t xml:space="preserve">7.2 The to-be process: a projected swimlane</w:t>
      </w:r>
    </w:p>
    <w:p w:rsidR="00000000" w:rsidDel="00000000" w:rsidP="00000000" w:rsidRDefault="00000000" w:rsidRPr="00000000" w14:paraId="0000014B">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 7.1 (Appendix B) mirrors the as-is map lane for lane, with one addition: a System lane into which six of the nine steps migrate, running in minutes. The queues are not compressed but removed — a runtime has no inbox. What remains of elapsed time is one internal queue (the engineer's next free review slot, a projected 2.5-hour median [A6]) and one external wait (the contractor's reply, carried over unchanged from measurement). A projected Tier 2 inquiry would need roughly 25 minutes of human attention against the measured 5.5 hours, the difference redeployed rather than removed (9.2, 11.2).</w:t>
      </w:r>
      <w:r w:rsidDel="00000000" w:rsidR="00000000" w:rsidRPr="00000000">
        <w:rPr>
          <w:rtl w:val="0"/>
        </w:rPr>
      </w:r>
    </w:p>
    <w:p w:rsidR="00000000" w:rsidDel="00000000" w:rsidP="00000000" w:rsidRDefault="00000000" w:rsidRPr="00000000" w14:paraId="0000014C">
      <w:pPr>
        <w:pStyle w:val="Heading2"/>
        <w:keepNext w:val="0"/>
        <w:keepLines w:val="0"/>
        <w:spacing w:after="100" w:before="240" w:line="360" w:lineRule="auto"/>
        <w:rPr/>
      </w:pPr>
      <w:bookmarkStart w:colFirst="0" w:colLast="0" w:name="_bfp4bxmwibx2" w:id="36"/>
      <w:bookmarkEnd w:id="36"/>
      <w:r w:rsidDel="00000000" w:rsidR="00000000" w:rsidRPr="00000000">
        <w:rPr>
          <w:rtl w:val="0"/>
        </w:rPr>
        <w:t xml:space="preserve">7.3 Intake and classification layer</w:t>
      </w:r>
    </w:p>
    <w:p w:rsidR="00000000" w:rsidDel="00000000" w:rsidP="00000000" w:rsidRDefault="00000000" w:rsidRPr="00000000" w14:paraId="0000014D">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minutes of arrival the intake layer classifies the inquiry into the 4.2 taxonomy [A1] and validates completeness against the 7.4 schema, producing a definitive list of gaps while the inquiry is minutes old. Missing fields trigger one consolidated clarification covering every gap at once [A3] — against an as-is process that finds gaps serially, at a median 41-hour round trip each, and only after roughly 22 working hours of queueing and reading. When the reply arrives, the layer recognises the thread, merges it and resumes, closing the gap that left Innovo's answer sitting unread in a mailbox.</w:t>
      </w:r>
      <w:r w:rsidDel="00000000" w:rsidR="00000000" w:rsidRPr="00000000">
        <w:rPr>
          <w:rtl w:val="0"/>
        </w:rPr>
      </w:r>
    </w:p>
    <w:p w:rsidR="00000000" w:rsidDel="00000000" w:rsidP="00000000" w:rsidRDefault="00000000" w:rsidRPr="00000000" w14:paraId="0000014E">
      <w:pPr>
        <w:pStyle w:val="Heading2"/>
        <w:keepNext w:val="0"/>
        <w:keepLines w:val="0"/>
        <w:spacing w:after="100" w:before="240" w:line="360" w:lineRule="auto"/>
        <w:rPr/>
      </w:pPr>
      <w:bookmarkStart w:colFirst="0" w:colLast="0" w:name="_auhih7i2sqqh" w:id="37"/>
      <w:bookmarkEnd w:id="37"/>
      <w:r w:rsidDel="00000000" w:rsidR="00000000" w:rsidRPr="00000000">
        <w:rPr>
          <w:rtl w:val="0"/>
        </w:rPr>
        <w:t xml:space="preserve">7.4 Extraction layer</w:t>
      </w:r>
    </w:p>
    <w:p w:rsidR="00000000" w:rsidDel="00000000" w:rsidP="00000000" w:rsidRDefault="00000000" w:rsidRPr="00000000" w14:paraId="0000014F">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Extraction converts unstructured documents into one canonical record — the twelve-field-per-system RFQ schema of Appendix G — using language and vision models to read specification extracts, schedules and email text. Each field carries a confidence score, and it is these scores, not the values, that drive the routing of 7.7. One boundary is stated now: native CAD parsing is out of scope for Phase 1. Where required fields exist only in a DWG file, the inquiry routes to an engineer with every extractable field pre-filled and the CAD-dependent fields flagged — degradation is to assisted work, not manual — and the 8.1 audit measures how often this occurs.</w:t>
      </w:r>
      <w:r w:rsidDel="00000000" w:rsidR="00000000" w:rsidRPr="00000000">
        <w:rPr>
          <w:rtl w:val="0"/>
        </w:rPr>
      </w:r>
    </w:p>
    <w:p w:rsidR="00000000" w:rsidDel="00000000" w:rsidP="00000000" w:rsidRDefault="00000000" w:rsidRPr="00000000" w14:paraId="00000150">
      <w:pPr>
        <w:pStyle w:val="Heading2"/>
        <w:keepNext w:val="0"/>
        <w:keepLines w:val="0"/>
        <w:spacing w:after="100" w:before="240" w:line="360" w:lineRule="auto"/>
        <w:rPr/>
      </w:pPr>
      <w:bookmarkStart w:colFirst="0" w:colLast="0" w:name="_1dhd0v5db1w8" w:id="38"/>
      <w:bookmarkEnd w:id="38"/>
      <w:r w:rsidDel="00000000" w:rsidR="00000000" w:rsidRPr="00000000">
        <w:rPr>
          <w:rtl w:val="0"/>
        </w:rPr>
        <w:t xml:space="preserve">7.5 The product data layer: classification, storage and retrieval</w:t>
      </w:r>
    </w:p>
    <w:p w:rsidR="00000000" w:rsidDel="00000000" w:rsidP="00000000" w:rsidRDefault="00000000" w:rsidRPr="00000000" w14:paraId="00000151">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of the above works if the system's knowledge of pumps lives inside a language model: models recall approximately, catalogues change monthly, and a quotation defensible under the audit constraint must rest on data that is exact, versioned and sourced. The design therefore separates reasoning from memory. Models read documents and orchestrate; a governed product database remembers — manufacturer data normalized into a typed hierarchy, hydraulic performance stored as curve data rather than prose, prices and lead times versioned with effective dates. The model never answers a product question from its own weights: retrieval runs structured filters first and semantic search second, and any response naming a model must carry the database key and data version it drew from — which is what keeps a quote reconstructible months later and correct the week after a price revision. The full specification of this layer — classification standard, storage architecture, retrieval tooling and ingestion pipeline — is given in Appendix J.</w:t>
      </w:r>
      <w:r w:rsidDel="00000000" w:rsidR="00000000" w:rsidRPr="00000000">
        <w:rPr>
          <w:rtl w:val="0"/>
        </w:rPr>
      </w:r>
    </w:p>
    <w:p w:rsidR="00000000" w:rsidDel="00000000" w:rsidP="00000000" w:rsidRDefault="00000000" w:rsidRPr="00000000" w14:paraId="00000152">
      <w:pPr>
        <w:pStyle w:val="Heading2"/>
        <w:keepNext w:val="0"/>
        <w:keepLines w:val="0"/>
        <w:spacing w:after="100" w:before="240" w:line="360" w:lineRule="auto"/>
        <w:rPr/>
      </w:pPr>
      <w:bookmarkStart w:colFirst="0" w:colLast="0" w:name="_zgxxfswki5za" w:id="39"/>
      <w:bookmarkEnd w:id="39"/>
      <w:r w:rsidDel="00000000" w:rsidR="00000000" w:rsidRPr="00000000">
        <w:rPr>
          <w:rtl w:val="0"/>
        </w:rPr>
        <w:t xml:space="preserve">7.6 Calculation and decision layer: three separated engines</w:t>
      </w:r>
    </w:p>
    <w:p w:rsidR="00000000" w:rsidDel="00000000" w:rsidP="00000000" w:rsidRDefault="00000000" w:rsidRPr="00000000" w14:paraId="00000153">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 a validated schema and a draft quote sit three engines, kept separate because they carry different uncertainty. The </w:t>
      </w:r>
      <w:r w:rsidDel="00000000" w:rsidR="00000000" w:rsidRPr="00000000">
        <w:rPr>
          <w:rFonts w:ascii="Times New Roman" w:cs="Times New Roman" w:eastAsia="Times New Roman" w:hAnsi="Times New Roman"/>
          <w:b w:val="1"/>
          <w:bCs w:val="1"/>
          <w:sz w:val="24"/>
          <w:szCs w:val="24"/>
          <w:rtl w:val="0"/>
        </w:rPr>
        <w:t xml:space="preserve">hydraulic engine is deterministic physics, not AI</w:t>
      </w:r>
      <w:r w:rsidDel="00000000" w:rsidR="00000000" w:rsidRPr="00000000">
        <w:rPr>
          <w:rFonts w:ascii="Times New Roman" w:cs="Times New Roman" w:eastAsia="Times New Roman" w:hAnsi="Times New Roman"/>
          <w:sz w:val="24"/>
          <w:szCs w:val="24"/>
          <w:rtl w:val="0"/>
        </w:rPr>
        <w:t xml:space="preserve"> — static head plus friction and fitting losses by Darcy-Weisbach, cross-checked by Hazen-Williams, the same formulas the estimators apply by hand, encoded once; because this is settled engineering, the design's uncertainty lives entirely upstream in extraction, which is what the Section 8 audit measures. The </w:t>
      </w:r>
      <w:r w:rsidDel="00000000" w:rsidR="00000000" w:rsidRPr="00000000">
        <w:rPr>
          <w:rFonts w:ascii="Times New Roman" w:cs="Times New Roman" w:eastAsia="Times New Roman" w:hAnsi="Times New Roman"/>
          <w:b w:val="1"/>
          <w:bCs w:val="1"/>
          <w:sz w:val="24"/>
          <w:szCs w:val="24"/>
          <w:rtl w:val="0"/>
        </w:rPr>
        <w:t xml:space="preserve">selection engine is a constrained search</w:t>
      </w:r>
      <w:r w:rsidDel="00000000" w:rsidR="00000000" w:rsidRPr="00000000">
        <w:rPr>
          <w:rFonts w:ascii="Times New Roman" w:cs="Times New Roman" w:eastAsia="Times New Roman" w:hAnsi="Times New Roman"/>
          <w:sz w:val="24"/>
          <w:szCs w:val="24"/>
          <w:rtl w:val="0"/>
        </w:rPr>
        <w:t xml:space="preserve">: given a duty point it filters the 7.5 store, queries the manufacturer's selection API, and returns candidates ranked on efficiency, price and lead time, flagging duty points near a curve edge rather than accepting them silently [A5]; where several answers are defensible, Khoory's own history of chosen and winning selections breaks the tie — the Section 10 data asset, used here as a sort order. The </w:t>
      </w:r>
      <w:r w:rsidDel="00000000" w:rsidR="00000000" w:rsidRPr="00000000">
        <w:rPr>
          <w:rFonts w:ascii="Times New Roman" w:cs="Times New Roman" w:eastAsia="Times New Roman" w:hAnsi="Times New Roman"/>
          <w:b w:val="1"/>
          <w:bCs w:val="1"/>
          <w:sz w:val="24"/>
          <w:szCs w:val="24"/>
          <w:rtl w:val="0"/>
        </w:rPr>
        <w:t xml:space="preserve">pricing engine is rules, not learning</w:t>
      </w:r>
      <w:r w:rsidDel="00000000" w:rsidR="00000000" w:rsidRPr="00000000">
        <w:rPr>
          <w:rFonts w:ascii="Times New Roman" w:cs="Times New Roman" w:eastAsia="Times New Roman" w:hAnsi="Times New Roman"/>
          <w:sz w:val="24"/>
          <w:szCs w:val="24"/>
          <w:rtl w:val="0"/>
        </w:rPr>
        <w:t xml:space="preserve">: cost-plus by family with a defined discount band and a reference price beside every discount decision, aimed at the 4–18% spread and the 1.9%-of-revenue leak of 4.4; machine-learned price optimisation is deferred to Phase 3.</w:t>
      </w:r>
      <w:r w:rsidDel="00000000" w:rsidR="00000000" w:rsidRPr="00000000">
        <w:rPr>
          <w:rtl w:val="0"/>
        </w:rPr>
      </w:r>
    </w:p>
    <w:p w:rsidR="00000000" w:rsidDel="00000000" w:rsidP="00000000" w:rsidRDefault="00000000" w:rsidRPr="00000000" w14:paraId="00000154">
      <w:pPr>
        <w:pStyle w:val="Heading2"/>
        <w:keepNext w:val="0"/>
        <w:keepLines w:val="0"/>
        <w:spacing w:after="100" w:before="240" w:line="360" w:lineRule="auto"/>
        <w:rPr/>
      </w:pPr>
      <w:bookmarkStart w:colFirst="0" w:colLast="0" w:name="_ezxo59cxscfn" w:id="40"/>
      <w:bookmarkEnd w:id="40"/>
      <w:r w:rsidDel="00000000" w:rsidR="00000000" w:rsidRPr="00000000">
        <w:rPr>
          <w:rtl w:val="0"/>
        </w:rPr>
        <w:t xml:space="preserve">7.7 Human-in-the-loop design</w:t>
      </w:r>
    </w:p>
    <w:p w:rsidR="00000000" w:rsidDel="00000000" w:rsidP="00000000" w:rsidRDefault="00000000" w:rsidRPr="00000000" w14:paraId="00000155">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preceding layers describe what the machine would do; this one decides what it is allowed to do. The routing is stated as logic:</w:t>
      </w:r>
    </w:p>
    <w:p w:rsidR="00000000" w:rsidDel="00000000" w:rsidP="00000000" w:rsidRDefault="00000000" w:rsidRPr="00000000" w14:paraId="00000156">
      <w:pPr>
        <w:shd w:fill="f5f7f8" w:val="clear"/>
        <w:spacing w:after="40" w:line="259.20000000000005" w:lineRule="auto"/>
        <w:ind w:left="500" w:firstLine="0"/>
        <w:rPr>
          <w:rFonts w:ascii="Courier New" w:cs="Courier New" w:eastAsia="Courier New" w:hAnsi="Courier New"/>
          <w:sz w:val="20"/>
          <w:szCs w:val="20"/>
        </w:rPr>
      </w:pPr>
      <w:r w:rsidDel="00000000" w:rsidR="00000000" w:rsidRPr="00000000">
        <w:rPr>
          <w:rFonts w:ascii="Gungsuh" w:cs="Gungsuh" w:eastAsia="Gungsuh" w:hAnsi="Gungsuh"/>
          <w:sz w:val="20"/>
          <w:szCs w:val="20"/>
          <w:rtl w:val="0"/>
        </w:rPr>
        <w:t xml:space="preserve">IF   min. field confidence ≥ C₁ AND tier = 1 AND value &lt; €V₁ AND discount in band</w:t>
      </w:r>
    </w:p>
    <w:p w:rsidR="00000000" w:rsidDel="00000000" w:rsidP="00000000" w:rsidRDefault="00000000" w:rsidRPr="00000000" w14:paraId="00000157">
      <w:pPr>
        <w:shd w:fill="f5f7f8" w:val="clear"/>
        <w:spacing w:after="40" w:line="259.20000000000005" w:lineRule="auto"/>
        <w:ind w:left="500" w:firstLine="0"/>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THEN auto-draft quote → engineer one-click release</w:t>
      </w:r>
    </w:p>
    <w:p w:rsidR="00000000" w:rsidDel="00000000" w:rsidP="00000000" w:rsidRDefault="00000000" w:rsidRPr="00000000" w14:paraId="00000158">
      <w:pPr>
        <w:shd w:fill="f5f7f8" w:val="clear"/>
        <w:spacing w:after="40" w:line="259.20000000000005" w:lineRule="auto"/>
        <w:ind w:left="500" w:firstLine="0"/>
        <w:rPr>
          <w:rFonts w:ascii="Courier New" w:cs="Courier New" w:eastAsia="Courier New" w:hAnsi="Courier New"/>
          <w:sz w:val="20"/>
          <w:szCs w:val="20"/>
        </w:rPr>
      </w:pPr>
      <w:r w:rsidDel="00000000" w:rsidR="00000000" w:rsidRPr="00000000">
        <w:rPr>
          <w:rFonts w:ascii="Gungsuh" w:cs="Gungsuh" w:eastAsia="Gungsuh" w:hAnsi="Gungsuh"/>
          <w:sz w:val="20"/>
          <w:szCs w:val="20"/>
          <w:rtl w:val="0"/>
        </w:rPr>
        <w:t xml:space="preserve">ELIF tier ≤ 2 AND min. field confidence ≥ C₂</w:t>
      </w:r>
    </w:p>
    <w:p w:rsidR="00000000" w:rsidDel="00000000" w:rsidP="00000000" w:rsidRDefault="00000000" w:rsidRPr="00000000" w14:paraId="00000159">
      <w:pPr>
        <w:shd w:fill="f5f7f8" w:val="clear"/>
        <w:spacing w:after="40" w:line="259.20000000000005" w:lineRule="auto"/>
        <w:ind w:left="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THEN engineer workspace: pre-filled schema, flagged uncertainties, ranked options</w:t>
      </w:r>
    </w:p>
    <w:p w:rsidR="00000000" w:rsidDel="00000000" w:rsidP="00000000" w:rsidRDefault="00000000" w:rsidRPr="00000000" w14:paraId="0000015A">
      <w:pPr>
        <w:shd w:fill="f5f7f8" w:val="clear"/>
        <w:spacing w:after="40" w:line="259.20000000000005" w:lineRule="auto"/>
        <w:ind w:left="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ELSE full engineer workspace + senior review (Tier 3, CAD-dependent, low confidence)</w:t>
      </w:r>
    </w:p>
    <w:p w:rsidR="00000000" w:rsidDel="00000000" w:rsidP="00000000" w:rsidRDefault="00000000" w:rsidRPr="00000000" w14:paraId="0000015B">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thresholds C₁, C₂ and V₁ are design parameters, not findings; setting them is the work of the pilot in 11.1. Under this routing the estimator's role moves upward — exception-handler and advisor, owning the flagged uncertainties, the curve-edge calls and the Tier 3 work that genuinely needs judgement (11.2). Constraint five powers the correction flywheel of Exhibit 7.3 (Appendix B): corrections become labelled data, accuracy rises, routing admits more inquiries to the assisted paths, and freed capacity concentrates where margin is highest — a projected mechanism the pilot exists to observe. Error containment closes the loop: value-gated release regardless of confidence, escalation for out-of-band discounts, an immutable audit log, and a single switch back to manual. Whose signature a quote carries is taken up in 11.3.</w:t>
      </w:r>
    </w:p>
    <w:p w:rsidR="00000000" w:rsidDel="00000000" w:rsidP="00000000" w:rsidRDefault="00000000" w:rsidRPr="00000000" w14:paraId="0000015C">
      <w:pPr>
        <w:pStyle w:val="Heading2"/>
        <w:keepNext w:val="0"/>
        <w:keepLines w:val="0"/>
        <w:spacing w:after="100" w:before="240" w:line="360" w:lineRule="auto"/>
        <w:rPr/>
      </w:pPr>
      <w:bookmarkStart w:colFirst="0" w:colLast="0" w:name="_dn5q2ufw30lb" w:id="41"/>
      <w:bookmarkEnd w:id="41"/>
      <w:r w:rsidDel="00000000" w:rsidR="00000000" w:rsidRPr="00000000">
        <w:rPr>
          <w:rtl w:val="0"/>
        </w:rPr>
        <w:t xml:space="preserve">7.8 Build, buy or partner</w:t>
      </w:r>
    </w:p>
    <w:p w:rsidR="00000000" w:rsidDel="00000000" w:rsidP="00000000" w:rsidRDefault="00000000" w:rsidRPr="00000000" w14:paraId="0000015D">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 7.2 (Appendix B) shows the layers assembled; Table 7.1 states the sourcing decision per component. The pattern: buy the probabilistic commodity, partner for domain logic the manufacturer maintains, build only the thin layers that encode Khoory's process and data — where defensibility lives.</w:t>
      </w:r>
    </w:p>
    <w:tbl>
      <w:tblPr>
        <w:tblStyle w:val="Table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730"/>
        <w:gridCol w:w="4020"/>
        <w:tblGridChange w:id="0">
          <w:tblGrid>
            <w:gridCol w:w="2370"/>
            <w:gridCol w:w="2730"/>
            <w:gridCol w:w="40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eaf1f3" w:val="clear"/>
            <w:tcMar>
              <w:top w:w="40.0" w:type="dxa"/>
              <w:left w:w="100.0" w:type="dxa"/>
              <w:bottom w:w="40.0" w:type="dxa"/>
              <w:right w:w="100.0" w:type="dxa"/>
            </w:tcMar>
            <w:vAlign w:val="top"/>
          </w:tcPr>
          <w:p w:rsidR="00000000" w:rsidDel="00000000" w:rsidP="00000000" w:rsidRDefault="00000000" w:rsidRPr="00000000" w14:paraId="0000015E">
            <w:pPr>
              <w:spacing w:after="20" w:line="3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Capability</w:t>
            </w:r>
          </w:p>
        </w:tc>
        <w:tc>
          <w:tcPr>
            <w:tcBorders>
              <w:top w:color="000000" w:space="0" w:sz="6" w:val="single"/>
              <w:left w:color="000000" w:space="0" w:sz="0" w:val="nil"/>
              <w:bottom w:color="000000" w:space="0" w:sz="6" w:val="single"/>
              <w:right w:color="000000" w:space="0" w:sz="6" w:val="single"/>
            </w:tcBorders>
            <w:shd w:fill="eaf1f3" w:val="clear"/>
            <w:tcMar>
              <w:top w:w="40.0" w:type="dxa"/>
              <w:left w:w="100.0" w:type="dxa"/>
              <w:bottom w:w="40.0" w:type="dxa"/>
              <w:right w:w="100.0" w:type="dxa"/>
            </w:tcMar>
            <w:vAlign w:val="top"/>
          </w:tcPr>
          <w:p w:rsidR="00000000" w:rsidDel="00000000" w:rsidP="00000000" w:rsidRDefault="00000000" w:rsidRPr="00000000" w14:paraId="0000015F">
            <w:pPr>
              <w:spacing w:after="20" w:line="3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Approach</w:t>
            </w:r>
          </w:p>
        </w:tc>
        <w:tc>
          <w:tcPr>
            <w:tcBorders>
              <w:top w:color="000000" w:space="0" w:sz="6" w:val="single"/>
              <w:left w:color="000000" w:space="0" w:sz="0" w:val="nil"/>
              <w:bottom w:color="000000" w:space="0" w:sz="6" w:val="single"/>
              <w:right w:color="000000" w:space="0" w:sz="6" w:val="single"/>
            </w:tcBorders>
            <w:shd w:fill="eaf1f3" w:val="clear"/>
            <w:tcMar>
              <w:top w:w="40.0" w:type="dxa"/>
              <w:left w:w="100.0" w:type="dxa"/>
              <w:bottom w:w="40.0" w:type="dxa"/>
              <w:right w:w="100.0" w:type="dxa"/>
            </w:tcMar>
            <w:vAlign w:val="top"/>
          </w:tcPr>
          <w:p w:rsidR="00000000" w:rsidDel="00000000" w:rsidP="00000000" w:rsidRDefault="00000000" w:rsidRPr="00000000" w14:paraId="00000160">
            <w:pPr>
              <w:spacing w:after="20" w:line="3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Rationale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61">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 &amp; email extraction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62">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Buy (foundation-model API) + build schema/validation layer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63">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Models are a fast-moving commodity; owning the schema keeps the system model-agnostic</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64">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Intake, classification, clarification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65">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Build (thin orchestration)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66">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Encodes the 4.2 taxonomy and completeness rules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67">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Product data layer (7.5)</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68">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Build (PostgreSQL + pgvector, managed hosting)</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69">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Normalization, versioning and history are the substrate of the Section 10 data asset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6A">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Hydraulic engine</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6B">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Build (deterministic rules)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6C">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Settled formulas; must be auditable line by line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6D">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Pump selection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6E">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Partner (manufacturer curve/selection APIs)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6F">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Grundfos maintains the curves; rebuilding invites divergence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70">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Pricing engine</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71">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Build (rules + ERP integration)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72">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Bands and cost data are Khoory's own; recovers the 1.9% leak</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73">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Review workspace &amp; routing</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74">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Build</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75">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7.7 design is the differentiating asset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76">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Audit log, identity, monitoring</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77">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Buy (standard components)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78">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Undifferentiated; shortens the path to pilot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79">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CAD parsing</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7A">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Defer (out of Phase 1)</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7B">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Hardest problem, lowest early payoff</w:t>
            </w:r>
          </w:p>
        </w:tc>
      </w:tr>
    </w:tbl>
    <w:p w:rsidR="00000000" w:rsidDel="00000000" w:rsidP="00000000" w:rsidRDefault="00000000" w:rsidRPr="00000000" w14:paraId="0000017C">
      <w:pPr>
        <w:spacing w:after="160" w:before="60" w:line="360" w:lineRule="auto"/>
        <w:rPr>
          <w:rFonts w:ascii="Times New Roman" w:cs="Times New Roman" w:eastAsia="Times New Roman" w:hAnsi="Times New Roman"/>
          <w:color w:val="595959"/>
          <w:sz w:val="20"/>
          <w:szCs w:val="20"/>
        </w:rPr>
      </w:pPr>
      <w:r w:rsidDel="00000000" w:rsidR="00000000" w:rsidRPr="00000000">
        <w:rPr>
          <w:rFonts w:ascii="Times New Roman" w:cs="Times New Roman" w:eastAsia="Times New Roman" w:hAnsi="Times New Roman"/>
          <w:color w:val="595959"/>
          <w:sz w:val="20"/>
          <w:szCs w:val="20"/>
          <w:rtl w:val="0"/>
        </w:rPr>
        <w:t xml:space="preserve">Table 7.1. Sourcing by component. The build column is intentionally thin: orchestration, rules, data and workspace.</w:t>
      </w:r>
    </w:p>
    <w:p w:rsidR="00000000" w:rsidDel="00000000" w:rsidP="00000000" w:rsidRDefault="00000000" w:rsidRPr="00000000" w14:paraId="0000017D">
      <w:pPr>
        <w:pStyle w:val="Heading2"/>
        <w:keepNext w:val="0"/>
        <w:keepLines w:val="0"/>
        <w:spacing w:after="100" w:before="240" w:line="360" w:lineRule="auto"/>
        <w:rPr/>
      </w:pPr>
      <w:bookmarkStart w:colFirst="0" w:colLast="0" w:name="_s7x8am2scgp2" w:id="42"/>
      <w:bookmarkEnd w:id="42"/>
      <w:r w:rsidDel="00000000" w:rsidR="00000000" w:rsidRPr="00000000">
        <w:rPr>
          <w:rtl w:val="0"/>
        </w:rPr>
        <w:t xml:space="preserve">7.9 The Innovo inquiry, to-be: a simulated walk-through</w:t>
      </w:r>
    </w:p>
    <w:p w:rsidR="00000000" w:rsidDel="00000000" w:rsidP="00000000" w:rsidRDefault="00000000" w:rsidRPr="00000000" w14:paraId="0000017E">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follows is a simulated scenario: the inquiry of Section 4.5 processed under the proposed design, with step times drawn from the Section 8 assumptions. Nothing in it has happened.</w:t>
      </w:r>
    </w:p>
    <w:p w:rsidR="00000000" w:rsidDel="00000000" w:rsidP="00000000" w:rsidRDefault="00000000" w:rsidRPr="00000000" w14:paraId="0000017F">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Thursday, 16:40: the email lands and intake opens it within the minute — classified, valued, in band [A1]. By 16:52 extraction has populated the schema and validation has found the same gaps a human found on day two, with the riser ambiguity flagged as an explicit conflict [A2]; at 16:53 a single consolidated clarification is on its way, thirteen minutes after receipt instead of 22 working hours [A3]. The contractor's reply is the one interval no redesign controls, so it is carried over at its measured pace: the request is seen on Friday and answered Monday morning. Within minutes of the reply the system has merged the thread, re-validated, run the head-loss calculations, filtered the product store, queried the selection API, and holds a draft quote — models ranked, the booster duty point flagged near its curve edge, prices in band. It is waiting on someone, rather than someone waiting on it. At 14:00 Monday, the estimator's first free slot, the review turns on the flagged selections; the senior's confirmation is two lines, one alternate is added, the discount stays in band [A6, A7]. At 15:10 Monday the quote would go out with the estimator's name on it per 11.3 — a day ahead of the deadline instead of two days late. Seven calendar days would become four; twenty-eight touch hours would become roughly [2.5–3, pending the Section 8 simulation] — the review of a 75-pump draft rather than its manual construction; and neither near-miss of 4.5 would arise to be caught. The conditional tense is deliberate — these times are model outputs — but the contrast is with numbers that were measured, and closing that asymmetry is Section 8's job.</w:t>
      </w:r>
    </w:p>
    <w:p w:rsidR="00000000" w:rsidDel="00000000" w:rsidP="00000000" w:rsidRDefault="00000000" w:rsidRPr="00000000" w14:paraId="00000180">
      <w:pPr>
        <w:pStyle w:val="Heading2"/>
        <w:keepNext w:val="0"/>
        <w:keepLines w:val="0"/>
        <w:spacing w:after="100" w:before="240" w:line="360" w:lineRule="auto"/>
        <w:rPr/>
      </w:pPr>
      <w:bookmarkStart w:colFirst="0" w:colLast="0" w:name="_hdr811bdz23g" w:id="43"/>
      <w:bookmarkEnd w:id="43"/>
      <w:r w:rsidDel="00000000" w:rsidR="00000000" w:rsidRPr="00000000">
        <w:rPr>
          <w:rtl w:val="0"/>
        </w:rPr>
        <w:t xml:space="preserve">7.10 Phasing preview</w:t>
      </w:r>
    </w:p>
    <w:p w:rsidR="00000000" w:rsidDel="00000000" w:rsidP="00000000" w:rsidRDefault="00000000" w:rsidRPr="00000000" w14:paraId="00000181">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would be admitted in stages, each earning the next through a pre-defined gate. Phase 1 runs the pipeline in shadow, every quote human-released and scored against the estimators — Phase 1 is the pilot itself. Phase 2 opens auto-draft for Tier 1 only, gated on live extraction accuracy, override rates and zero escaped defects in shadow. Phase 3 makes assisted routing the Tier 2 default and revisits the deferred items — pricing optimization, CAD — on the strength of accumulated flywheel data. Thresholds are stated as symbols deliberately: they are parameters the pilot exists to determine, and the full roadmap with kill criteria is the subject of 11.1.</w:t>
      </w:r>
      <w:r w:rsidDel="00000000" w:rsidR="00000000" w:rsidRPr="00000000">
        <w:rPr>
          <w:rtl w:val="0"/>
        </w:rPr>
      </w:r>
    </w:p>
    <w:p w:rsidR="00000000" w:rsidDel="00000000" w:rsidP="00000000" w:rsidRDefault="00000000" w:rsidRPr="00000000" w14:paraId="00000182">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4">
      <w:pPr>
        <w:spacing w:after="120" w:line="360" w:lineRule="auto"/>
        <w:rPr>
          <w:rFonts w:ascii="Times New Roman" w:cs="Times New Roman" w:eastAsia="Times New Roman" w:hAnsi="Times New Roman"/>
          <w:color w:val="1f4e5f"/>
          <w:sz w:val="24"/>
          <w:szCs w:val="24"/>
        </w:rPr>
      </w:pPr>
      <w:r w:rsidDel="00000000" w:rsidR="00000000" w:rsidRPr="00000000">
        <w:rPr>
          <w:rtl w:val="0"/>
        </w:rPr>
      </w:r>
    </w:p>
    <w:p w:rsidR="00000000" w:rsidDel="00000000" w:rsidP="00000000" w:rsidRDefault="00000000" w:rsidRPr="00000000" w14:paraId="00000185">
      <w:pPr>
        <w:pStyle w:val="Heading1"/>
        <w:keepNext w:val="0"/>
        <w:keepLines w:val="0"/>
        <w:spacing w:after="100" w:before="220" w:line="360" w:lineRule="auto"/>
        <w:rPr/>
      </w:pPr>
      <w:bookmarkStart w:colFirst="0" w:colLast="0" w:name="_txv3rhi87egc" w:id="44"/>
      <w:bookmarkEnd w:id="44"/>
      <w:r w:rsidDel="00000000" w:rsidR="00000000" w:rsidRPr="00000000">
        <w:rPr>
          <w:rtl w:val="0"/>
        </w:rPr>
        <w:t xml:space="preserve">Section 8 — Feasibility &amp; Simulation Evidence</w:t>
      </w:r>
    </w:p>
    <w:p w:rsidR="00000000" w:rsidDel="00000000" w:rsidP="00000000" w:rsidRDefault="00000000" w:rsidRPr="00000000" w14:paraId="00000186">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ez5s7re1iclu" w:id="45"/>
      <w:bookmarkEnd w:id="45"/>
      <w:r w:rsidDel="00000000" w:rsidR="00000000" w:rsidRPr="00000000">
        <w:rPr>
          <w:rFonts w:ascii="Times New Roman" w:cs="Times New Roman" w:eastAsia="Times New Roman" w:hAnsi="Times New Roman"/>
          <w:b w:val="1"/>
          <w:bCs w:val="1"/>
          <w:color w:val="2e6e7e"/>
          <w:sz w:val="24"/>
          <w:szCs w:val="24"/>
          <w:rtl w:val="0"/>
        </w:rPr>
        <w:t xml:space="preserve">8.1 Technical feasibility audit (audited evidence)</w:t>
      </w:r>
    </w:p>
    <w:p w:rsidR="00000000" w:rsidDel="00000000" w:rsidP="00000000" w:rsidRDefault="00000000" w:rsidRPr="00000000" w14:paraId="00000187">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Sample 25–30 historical RFQs across tiers. For each, your engineers score every required data field: </w:t>
      </w:r>
      <w:r w:rsidDel="00000000" w:rsidR="00000000" w:rsidRPr="00000000">
        <w:rPr>
          <w:rFonts w:ascii="Times New Roman" w:cs="Times New Roman" w:eastAsia="Times New Roman" w:hAnsi="Times New Roman"/>
          <w:i w:val="1"/>
          <w:iCs w:val="1"/>
          <w:sz w:val="24"/>
          <w:szCs w:val="24"/>
          <w:rtl w:val="0"/>
        </w:rPr>
        <w:t xml:space="preserve">cleanly present in machine-readable text / present but embedded in image or table / ambiguous, requires judgement / absent, requires clarification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8">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 a document-complexity typology from the sample (clean digital PDF / scanned schedule / email fragments / CAD-dependent) with volume shares.</w:t>
      </w:r>
    </w:p>
    <w:p w:rsidR="00000000" w:rsidDel="00000000" w:rsidP="00000000" w:rsidRDefault="00000000" w:rsidRPr="00000000" w14:paraId="00000189">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 each document type to published document-AI accuracy benchmarks (from 5.3), stating the mapping assumptions. Output: </w:t>
      </w:r>
      <w:r w:rsidDel="00000000" w:rsidR="00000000" w:rsidRPr="00000000">
        <w:rPr>
          <w:rFonts w:ascii="Times New Roman" w:cs="Times New Roman" w:eastAsia="Times New Roman" w:hAnsi="Times New Roman"/>
          <w:b w:val="1"/>
          <w:bCs w:val="1"/>
          <w:sz w:val="24"/>
          <w:szCs w:val="24"/>
          <w:rtl w:val="0"/>
        </w:rPr>
        <w:t xml:space="preserve">an evidence-based range for the achievable automation rate, by tier</w:t>
      </w:r>
      <w:r w:rsidDel="00000000" w:rsidR="00000000" w:rsidRPr="00000000">
        <w:rPr>
          <w:rFonts w:ascii="Times New Roman" w:cs="Times New Roman" w:eastAsia="Times New Roman" w:hAnsi="Times New Roman"/>
          <w:sz w:val="24"/>
          <w:szCs w:val="24"/>
          <w:rtl w:val="0"/>
        </w:rPr>
        <w:t xml:space="preserve"> — the single most important input to Sections 8.2 and 9.</w:t>
      </w:r>
    </w:p>
    <w:p w:rsidR="00000000" w:rsidDel="00000000" w:rsidP="00000000" w:rsidRDefault="00000000" w:rsidRPr="00000000" w14:paraId="0000018A">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Optional zero-build probe: </w:t>
      </w:r>
      <w:r w:rsidDel="00000000" w:rsidR="00000000" w:rsidRPr="00000000">
        <w:rPr>
          <w:rFonts w:ascii="Times New Roman" w:cs="Times New Roman" w:eastAsia="Times New Roman" w:hAnsi="Times New Roman"/>
          <w:sz w:val="24"/>
          <w:szCs w:val="24"/>
          <w:rtl w:val="0"/>
        </w:rPr>
        <w:t xml:space="preserve">run 5–10 redacted sample documents through an off-the-shelf LLM (no code, an afternoon) purely to sanity-check the benchmark mapping. If you do this, label it a “directional probe,” not a prototype; if you prefer not to, the audit stands on its own.</w:t>
      </w:r>
    </w:p>
    <w:p w:rsidR="00000000" w:rsidDel="00000000" w:rsidP="00000000" w:rsidRDefault="00000000" w:rsidRPr="00000000" w14:paraId="0000018B">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ntryizwsm6vk" w:id="46"/>
      <w:bookmarkEnd w:id="46"/>
      <w:r w:rsidDel="00000000" w:rsidR="00000000" w:rsidRPr="00000000">
        <w:rPr>
          <w:rFonts w:ascii="Times New Roman" w:cs="Times New Roman" w:eastAsia="Times New Roman" w:hAnsi="Times New Roman"/>
          <w:b w:val="1"/>
          <w:bCs w:val="1"/>
          <w:color w:val="2e6e7e"/>
          <w:sz w:val="24"/>
          <w:szCs w:val="24"/>
          <w:rtl w:val="0"/>
        </w:rPr>
        <w:t xml:space="preserve">8.2 Process simulation (simulated evidence)</w:t>
      </w:r>
    </w:p>
    <w:p w:rsidR="00000000" w:rsidDel="00000000" w:rsidP="00000000" w:rsidRDefault="00000000" w:rsidRPr="00000000" w14:paraId="0000018C">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 the cycle-time / capacity model described in 3.3, parameterized entirely from Section 4 measurements (arrival rates, touch times, queue discipline, engineer capacity).</w:t>
      </w:r>
    </w:p>
    <w:p w:rsidR="00000000" w:rsidDel="00000000" w:rsidP="00000000" w:rsidRDefault="00000000" w:rsidRPr="00000000" w14:paraId="0000018D">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Calibrate first: </w:t>
      </w:r>
      <w:r w:rsidDel="00000000" w:rsidR="00000000" w:rsidRPr="00000000">
        <w:rPr>
          <w:rFonts w:ascii="Times New Roman" w:cs="Times New Roman" w:eastAsia="Times New Roman" w:hAnsi="Times New Roman"/>
          <w:sz w:val="24"/>
          <w:szCs w:val="24"/>
          <w:rtl w:val="0"/>
        </w:rPr>
        <w:t xml:space="preserve">show the model reproducing the measured As-Is median and P90 cycle times within a stated tolerance. </w:t>
      </w:r>
      <w:r w:rsidDel="00000000" w:rsidR="00000000" w:rsidRPr="00000000">
        <w:rPr>
          <w:rFonts w:ascii="Times New Roman" w:cs="Times New Roman" w:eastAsia="Times New Roman" w:hAnsi="Times New Roman"/>
          <w:b w:val="1"/>
          <w:bCs w:val="1"/>
          <w:sz w:val="24"/>
          <w:szCs w:val="24"/>
          <w:rtl w:val="0"/>
        </w:rPr>
        <w:t xml:space="preserve">This calibration step is the credibility of the entire section</w:t>
      </w:r>
      <w:r w:rsidDel="00000000" w:rsidR="00000000" w:rsidRPr="00000000">
        <w:rPr>
          <w:rFonts w:ascii="Times New Roman" w:cs="Times New Roman" w:eastAsia="Times New Roman" w:hAnsi="Times New Roman"/>
          <w:sz w:val="24"/>
          <w:szCs w:val="24"/>
          <w:rtl w:val="0"/>
        </w:rPr>
        <w:t xml:space="preserve"> — a model that recreates observed reality earns the right to project a different one.</w:t>
      </w:r>
    </w:p>
    <w:p w:rsidR="00000000" w:rsidDel="00000000" w:rsidP="00000000" w:rsidRDefault="00000000" w:rsidRPr="00000000" w14:paraId="0000018E">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 run To-Be scenarios across the automation-rate range from 8.1. Report outputs as distributions: projected cycle time (median, P90), engineer utilization, and quoting capacity — under low / central / high automation.</w:t>
      </w:r>
    </w:p>
    <w:p w:rsidR="00000000" w:rsidDel="00000000" w:rsidP="00000000" w:rsidRDefault="00000000" w:rsidRPr="00000000" w14:paraId="0000018F">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 exhibit: As-Is measured vs. As-Is simulated (the calibration proof) vs. To-Be simulated (the projection). Three bars that carry the whole argument.</w:t>
      </w:r>
    </w:p>
    <w:p w:rsidR="00000000" w:rsidDel="00000000" w:rsidP="00000000" w:rsidRDefault="00000000" w:rsidRPr="00000000" w14:paraId="00000190">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u8j6mear32nq" w:id="47"/>
      <w:bookmarkEnd w:id="47"/>
      <w:r w:rsidDel="00000000" w:rsidR="00000000" w:rsidRPr="00000000">
        <w:rPr>
          <w:rFonts w:ascii="Times New Roman" w:cs="Times New Roman" w:eastAsia="Times New Roman" w:hAnsi="Times New Roman"/>
          <w:b w:val="1"/>
          <w:bCs w:val="1"/>
          <w:color w:val="2e6e7e"/>
          <w:sz w:val="24"/>
          <w:szCs w:val="24"/>
          <w:rtl w:val="0"/>
        </w:rPr>
        <w:t xml:space="preserve">8.3 Expert &amp; practitioner validation (validated design)</w:t>
      </w:r>
    </w:p>
    <w:p w:rsidR="00000000" w:rsidDel="00000000" w:rsidP="00000000" w:rsidRDefault="00000000" w:rsidRPr="00000000" w14:paraId="00000191">
      <w:pPr>
        <w:spacing w:after="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structured design review: your engineers (and, if accessible, one external AI/automation practitioner) walk the Section 7 architecture and formally score each component for feasibility, flag failure modes, and challenge the routing thresholds. Report it as a mini-Delphi: scores, dissents, and what you changed in the design as a result. </w:t>
      </w:r>
      <w:r w:rsidDel="00000000" w:rsidR="00000000" w:rsidRPr="00000000">
        <w:rPr>
          <w:rFonts w:ascii="Times New Roman" w:cs="Times New Roman" w:eastAsia="Times New Roman" w:hAnsi="Times New Roman"/>
          <w:b w:val="1"/>
          <w:bCs w:val="1"/>
          <w:sz w:val="24"/>
          <w:szCs w:val="24"/>
          <w:rtl w:val="0"/>
        </w:rPr>
        <w:t xml:space="preserve">Showing the design changed under expert challenge is ex-ante rigour at its best.</w:t>
      </w:r>
    </w:p>
    <w:p w:rsidR="00000000" w:rsidDel="00000000" w:rsidP="00000000" w:rsidRDefault="00000000" w:rsidRPr="00000000" w14:paraId="00000192">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5imwxwa7dp36" w:id="48"/>
      <w:bookmarkEnd w:id="48"/>
      <w:r w:rsidDel="00000000" w:rsidR="00000000" w:rsidRPr="00000000">
        <w:rPr>
          <w:rFonts w:ascii="Times New Roman" w:cs="Times New Roman" w:eastAsia="Times New Roman" w:hAnsi="Times New Roman"/>
          <w:b w:val="1"/>
          <w:bCs w:val="1"/>
          <w:color w:val="2e6e7e"/>
          <w:sz w:val="24"/>
          <w:szCs w:val="24"/>
          <w:rtl w:val="0"/>
        </w:rPr>
        <w:t xml:space="preserve">8.4 Honest synthesis</w:t>
      </w:r>
    </w:p>
    <w:p w:rsidR="00000000" w:rsidDel="00000000" w:rsidP="00000000" w:rsidRDefault="00000000" w:rsidRPr="00000000" w14:paraId="00000193">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short lists: what the evidence supports; what remains unproven; and — critically — </w:t>
      </w:r>
      <w:r w:rsidDel="00000000" w:rsidR="00000000" w:rsidRPr="00000000">
        <w:rPr>
          <w:rFonts w:ascii="Times New Roman" w:cs="Times New Roman" w:eastAsia="Times New Roman" w:hAnsi="Times New Roman"/>
          <w:b w:val="1"/>
          <w:bCs w:val="1"/>
          <w:sz w:val="24"/>
          <w:szCs w:val="24"/>
          <w:rtl w:val="0"/>
        </w:rPr>
        <w:t xml:space="preserve">the explicit register of assumptions that only a real pilot can validate</w:t>
      </w:r>
      <w:r w:rsidDel="00000000" w:rsidR="00000000" w:rsidRPr="00000000">
        <w:rPr>
          <w:rFonts w:ascii="Times New Roman" w:cs="Times New Roman" w:eastAsia="Times New Roman" w:hAnsi="Times New Roman"/>
          <w:sz w:val="24"/>
          <w:szCs w:val="24"/>
          <w:rtl w:val="0"/>
        </w:rPr>
        <w:t xml:space="preserve"> (live extraction accuracy, contractor acceptance, engineer adoption). This register becomes, verbatim, the Phase 1 pilot charter in Section 11. That hand-off — ‘here is exactly what we could not prove, and here is the bounded experiment that proves it’ — is the signature move of a first-class ex-ante paper.</w:t>
      </w:r>
      <w:r w:rsidDel="00000000" w:rsidR="00000000" w:rsidRPr="00000000">
        <w:rPr>
          <w:rtl w:val="0"/>
        </w:rPr>
      </w:r>
    </w:p>
    <w:p w:rsidR="00000000" w:rsidDel="00000000" w:rsidP="00000000" w:rsidRDefault="00000000" w:rsidRPr="00000000" w14:paraId="00000194">
      <w:pPr>
        <w:pStyle w:val="Heading1"/>
        <w:keepNext w:val="0"/>
        <w:keepLines w:val="0"/>
        <w:spacing w:after="140" w:before="0" w:line="360" w:lineRule="auto"/>
        <w:rPr>
          <w:rFonts w:ascii="Times New Roman" w:cs="Times New Roman" w:eastAsia="Times New Roman" w:hAnsi="Times New Roman"/>
          <w:b w:val="1"/>
          <w:bCs w:val="1"/>
          <w:color w:val="1f4e5f"/>
          <w:sz w:val="24"/>
          <w:szCs w:val="24"/>
        </w:rPr>
      </w:pPr>
      <w:bookmarkStart w:colFirst="0" w:colLast="0" w:name="_uzumcdqfa6t5" w:id="49"/>
      <w:bookmarkEnd w:id="49"/>
      <w:r w:rsidDel="00000000" w:rsidR="00000000" w:rsidRPr="00000000">
        <w:rPr>
          <w:rFonts w:ascii="Times New Roman" w:cs="Times New Roman" w:eastAsia="Times New Roman" w:hAnsi="Times New Roman"/>
          <w:b w:val="1"/>
          <w:bCs w:val="1"/>
          <w:color w:val="1f4e5f"/>
          <w:sz w:val="24"/>
          <w:szCs w:val="24"/>
          <w:rtl w:val="0"/>
        </w:rPr>
        <w:t xml:space="preserve">Section 9 — Projected Financial Analysis</w:t>
      </w:r>
      <w:r w:rsidDel="00000000" w:rsidR="00000000" w:rsidRPr="00000000">
        <w:rPr>
          <w:rtl w:val="0"/>
        </w:rPr>
      </w:r>
    </w:p>
    <w:p w:rsidR="00000000" w:rsidDel="00000000" w:rsidP="00000000" w:rsidRDefault="00000000" w:rsidRPr="00000000" w14:paraId="00000195">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tupq6k415irw" w:id="50"/>
      <w:bookmarkEnd w:id="50"/>
      <w:r w:rsidDel="00000000" w:rsidR="00000000" w:rsidRPr="00000000">
        <w:rPr>
          <w:rFonts w:ascii="Times New Roman" w:cs="Times New Roman" w:eastAsia="Times New Roman" w:hAnsi="Times New Roman"/>
          <w:b w:val="1"/>
          <w:bCs w:val="1"/>
          <w:color w:val="2e6e7e"/>
          <w:sz w:val="24"/>
          <w:szCs w:val="24"/>
          <w:rtl w:val="0"/>
        </w:rPr>
        <w:t xml:space="preserve">9.1 Baseline economics of the quoting function (measured)</w:t>
      </w:r>
    </w:p>
    <w:p w:rsidR="00000000" w:rsidDel="00000000" w:rsidP="00000000" w:rsidRDefault="00000000" w:rsidRPr="00000000" w14:paraId="00000196">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 fully-loaded quoting cost, revenue throughput per engineer, quantified leakage (errors + discounting) — all from 4.3/4.4; no new numbers.</w:t>
      </w:r>
    </w:p>
    <w:p w:rsidR="00000000" w:rsidDel="00000000" w:rsidP="00000000" w:rsidRDefault="00000000" w:rsidRPr="00000000" w14:paraId="00000197">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byglzoglxb09" w:id="51"/>
      <w:bookmarkEnd w:id="51"/>
      <w:r w:rsidDel="00000000" w:rsidR="00000000" w:rsidRPr="00000000">
        <w:rPr>
          <w:rFonts w:ascii="Times New Roman" w:cs="Times New Roman" w:eastAsia="Times New Roman" w:hAnsi="Times New Roman"/>
          <w:b w:val="1"/>
          <w:bCs w:val="1"/>
          <w:color w:val="2e6e7e"/>
          <w:sz w:val="24"/>
          <w:szCs w:val="24"/>
          <w:rtl w:val="0"/>
        </w:rPr>
        <w:t xml:space="preserve">9.2 Benefits waterfall (projected, tagged)</w:t>
      </w:r>
    </w:p>
    <w:p w:rsidR="00000000" w:rsidDel="00000000" w:rsidP="00000000" w:rsidRDefault="00000000" w:rsidRPr="00000000" w14:paraId="00000198">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exhibit, each bar tagged measured / audited / simulated and explicitly de-overlapped:</w:t>
      </w:r>
    </w:p>
    <w:p w:rsidR="00000000" w:rsidDel="00000000" w:rsidP="00000000" w:rsidRDefault="00000000" w:rsidRPr="00000000" w14:paraId="00000199">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Engineering cost productivity — with the redeployment assumption stated: capacity redirected to complex, high-value quotes, not headcount reduction (also defuses the change-management tension in 11.2).</w:t>
      </w:r>
    </w:p>
    <w:p w:rsidR="00000000" w:rsidDel="00000000" w:rsidP="00000000" w:rsidRDefault="00000000" w:rsidRPr="00000000" w14:paraId="0000019A">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Error-cost elimination.</w:t>
      </w:r>
    </w:p>
    <w:p w:rsidR="00000000" w:rsidDel="00000000" w:rsidP="00000000" w:rsidRDefault="00000000" w:rsidRPr="00000000" w14:paraId="0000019B">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Discounting discipline — often the sleeper #1 benefit; flag it.</w:t>
      </w:r>
    </w:p>
    <w:p w:rsidR="00000000" w:rsidDel="00000000" w:rsidP="00000000" w:rsidRDefault="00000000" w:rsidRPr="00000000" w14:paraId="0000019C">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Win-rate uplift from speed.</w:t>
      </w:r>
    </w:p>
    <w:p w:rsidR="00000000" w:rsidDel="00000000" w:rsidP="00000000" w:rsidRDefault="00000000" w:rsidRPr="00000000" w14:paraId="0000019D">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 capacity — RFQs currently declined or ignored.</w:t>
      </w:r>
    </w:p>
    <w:p w:rsidR="00000000" w:rsidDel="00000000" w:rsidP="00000000" w:rsidRDefault="00000000" w:rsidRPr="00000000" w14:paraId="0000019E">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tu4saz5evmk" w:id="52"/>
      <w:bookmarkEnd w:id="52"/>
      <w:r w:rsidDel="00000000" w:rsidR="00000000" w:rsidRPr="00000000">
        <w:rPr>
          <w:rFonts w:ascii="Times New Roman" w:cs="Times New Roman" w:eastAsia="Times New Roman" w:hAnsi="Times New Roman"/>
          <w:b w:val="1"/>
          <w:bCs w:val="1"/>
          <w:color w:val="2e6e7e"/>
          <w:sz w:val="24"/>
          <w:szCs w:val="24"/>
          <w:rtl w:val="0"/>
        </w:rPr>
        <w:t xml:space="preserve">9.3 Validating the speed–win elasticity</w:t>
      </w:r>
    </w:p>
    <w:p w:rsidR="00000000" w:rsidDel="00000000" w:rsidP="00000000" w:rsidRDefault="00000000" w:rsidRPr="00000000" w14:paraId="0000019F">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single most attackable assumption. Triangulate: (a) your own historical data — win rate vs. response time on past quotes, even crude; (b) contractor interview evidence from 4.6; (c) industry evidence. State the range; use the low end in the base case.</w:t>
      </w:r>
      <w:r w:rsidDel="00000000" w:rsidR="00000000" w:rsidRPr="00000000">
        <w:rPr>
          <w:rtl w:val="0"/>
        </w:rPr>
      </w:r>
    </w:p>
    <w:p w:rsidR="00000000" w:rsidDel="00000000" w:rsidP="00000000" w:rsidRDefault="00000000" w:rsidRPr="00000000" w14:paraId="000001A0">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rwj5m4ebzv0p" w:id="53"/>
      <w:bookmarkEnd w:id="53"/>
      <w:r w:rsidDel="00000000" w:rsidR="00000000" w:rsidRPr="00000000">
        <w:rPr>
          <w:rFonts w:ascii="Times New Roman" w:cs="Times New Roman" w:eastAsia="Times New Roman" w:hAnsi="Times New Roman"/>
          <w:b w:val="1"/>
          <w:bCs w:val="1"/>
          <w:color w:val="2e6e7e"/>
          <w:sz w:val="24"/>
          <w:szCs w:val="24"/>
          <w:rtl w:val="0"/>
        </w:rPr>
        <w:t xml:space="preserve">9.4 Cost model</w:t>
      </w:r>
    </w:p>
    <w:p w:rsidR="00000000" w:rsidDel="00000000" w:rsidP="00000000" w:rsidRDefault="00000000" w:rsidRPr="00000000" w14:paraId="000001A1">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(development, integration, data cleanup) · run (inference/API at projected volume, licences, 0.2–0.5 FTE maintenance) · </w:t>
      </w:r>
      <w:r w:rsidDel="00000000" w:rsidR="00000000" w:rsidRPr="00000000">
        <w:rPr>
          <w:rFonts w:ascii="Times New Roman" w:cs="Times New Roman" w:eastAsia="Times New Roman" w:hAnsi="Times New Roman"/>
          <w:b w:val="1"/>
          <w:bCs w:val="1"/>
          <w:sz w:val="24"/>
          <w:szCs w:val="24"/>
          <w:rtl w:val="0"/>
        </w:rPr>
        <w:t xml:space="preserve">change costs</w:t>
      </w:r>
      <w:r w:rsidDel="00000000" w:rsidR="00000000" w:rsidRPr="00000000">
        <w:rPr>
          <w:rFonts w:ascii="Times New Roman" w:cs="Times New Roman" w:eastAsia="Times New Roman" w:hAnsi="Times New Roman"/>
          <w:sz w:val="24"/>
          <w:szCs w:val="24"/>
          <w:rtl w:val="0"/>
        </w:rPr>
        <w:t xml:space="preserve"> (training, transition productivity dip). Since you have no build experience to draw on, source cost estimates from analogous projects or vendor quotations and say so — an audited cost estimate beats a guessed one.</w:t>
      </w:r>
      <w:r w:rsidDel="00000000" w:rsidR="00000000" w:rsidRPr="00000000">
        <w:rPr>
          <w:rtl w:val="0"/>
        </w:rPr>
      </w:r>
    </w:p>
    <w:p w:rsidR="00000000" w:rsidDel="00000000" w:rsidP="00000000" w:rsidRDefault="00000000" w:rsidRPr="00000000" w14:paraId="000001A2">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pbqrmsauperh" w:id="54"/>
      <w:bookmarkEnd w:id="54"/>
      <w:r w:rsidDel="00000000" w:rsidR="00000000" w:rsidRPr="00000000">
        <w:rPr>
          <w:rFonts w:ascii="Times New Roman" w:cs="Times New Roman" w:eastAsia="Times New Roman" w:hAnsi="Times New Roman"/>
          <w:b w:val="1"/>
          <w:bCs w:val="1"/>
          <w:color w:val="2e6e7e"/>
          <w:sz w:val="24"/>
          <w:szCs w:val="24"/>
          <w:rtl w:val="0"/>
        </w:rPr>
        <w:t xml:space="preserve">9.5 Investment appraisal under uncertainty</w:t>
      </w:r>
      <w:r w:rsidDel="00000000" w:rsidR="00000000" w:rsidRPr="00000000">
        <w:rPr>
          <w:rtl w:val="0"/>
        </w:rPr>
      </w:r>
    </w:p>
    <w:p w:rsidR="00000000" w:rsidDel="00000000" w:rsidP="00000000" w:rsidRDefault="00000000" w:rsidRPr="00000000" w14:paraId="000001A3">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Five-year NPV, IRR, payback; discount rate justified.</w:t>
      </w:r>
    </w:p>
    <w:p w:rsidR="00000000" w:rsidDel="00000000" w:rsidP="00000000" w:rsidRDefault="00000000" w:rsidRPr="00000000" w14:paraId="000001A4">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Monte Carlo appraisal: </w:t>
      </w:r>
      <w:r w:rsidDel="00000000" w:rsidR="00000000" w:rsidRPr="00000000">
        <w:rPr>
          <w:rFonts w:ascii="Times New Roman" w:cs="Times New Roman" w:eastAsia="Times New Roman" w:hAnsi="Times New Roman"/>
          <w:sz w:val="24"/>
          <w:szCs w:val="24"/>
          <w:rtl w:val="0"/>
        </w:rPr>
        <w:t xml:space="preserve">run the financial model over the input distributions established in 8.1 (automation rate), 9.3 (win-rate uplift), and 9.4 (build cost). Report NPV as P10 / P50 / P90 and the </w:t>
      </w:r>
      <w:r w:rsidDel="00000000" w:rsidR="00000000" w:rsidRPr="00000000">
        <w:rPr>
          <w:rFonts w:ascii="Times New Roman" w:cs="Times New Roman" w:eastAsia="Times New Roman" w:hAnsi="Times New Roman"/>
          <w:b w:val="1"/>
          <w:bCs w:val="1"/>
          <w:sz w:val="24"/>
          <w:szCs w:val="24"/>
          <w:rtl w:val="0"/>
        </w:rPr>
        <w:t xml:space="preserve">probability of clearing the hurdle rate</w:t>
      </w:r>
      <w:r w:rsidDel="00000000" w:rsidR="00000000" w:rsidRPr="00000000">
        <w:rPr>
          <w:rFonts w:ascii="Times New Roman" w:cs="Times New Roman" w:eastAsia="Times New Roman" w:hAnsi="Times New Roman"/>
          <w:sz w:val="24"/>
          <w:szCs w:val="24"/>
          <w:rtl w:val="0"/>
        </w:rPr>
        <w:t xml:space="preserve">. This is the natural financial companion to the process simulation and the strongest possible replacement for implementation results.</w:t>
      </w:r>
    </w:p>
    <w:p w:rsidR="00000000" w:rsidDel="00000000" w:rsidP="00000000" w:rsidRDefault="00000000" w:rsidRPr="00000000" w14:paraId="000001A5">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Retain the hostile conservative case: automation at 50% of the audited central estimate, zero win-rate uplift, 30% build overrun. If it clears the hurdle on cost + error + discounting alone, you have a floor argument; if not, say so and identify the evidence that would de-risk it.</w:t>
      </w:r>
    </w:p>
    <w:p w:rsidR="00000000" w:rsidDel="00000000" w:rsidP="00000000" w:rsidRDefault="00000000" w:rsidRPr="00000000" w14:paraId="000001A6">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5jbhwg8ipoaz" w:id="55"/>
      <w:bookmarkEnd w:id="55"/>
      <w:r w:rsidDel="00000000" w:rsidR="00000000" w:rsidRPr="00000000">
        <w:rPr>
          <w:rFonts w:ascii="Times New Roman" w:cs="Times New Roman" w:eastAsia="Times New Roman" w:hAnsi="Times New Roman"/>
          <w:b w:val="1"/>
          <w:bCs w:val="1"/>
          <w:color w:val="2e6e7e"/>
          <w:sz w:val="24"/>
          <w:szCs w:val="24"/>
          <w:rtl w:val="0"/>
        </w:rPr>
        <w:t xml:space="preserve">9.6 Sensitivity &amp; unit economics</w:t>
      </w:r>
    </w:p>
    <w:p w:rsidR="00000000" w:rsidDel="00000000" w:rsidP="00000000" w:rsidRDefault="00000000" w:rsidRPr="00000000" w14:paraId="000001A7">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Tornado chart on: win-rate uplift, automation rate (audited range), extraction accuracy, build cost, redeployment value. Plus </w:t>
      </w:r>
      <w:r w:rsidDel="00000000" w:rsidR="00000000" w:rsidRPr="00000000">
        <w:rPr>
          <w:rFonts w:ascii="Times New Roman" w:cs="Times New Roman" w:eastAsia="Times New Roman" w:hAnsi="Times New Roman"/>
          <w:b w:val="1"/>
          <w:bCs w:val="1"/>
          <w:sz w:val="24"/>
          <w:szCs w:val="24"/>
          <w:rtl w:val="0"/>
        </w:rPr>
        <w:t xml:space="preserve">Innovo unit economics</w:t>
      </w:r>
      <w:r w:rsidDel="00000000" w:rsidR="00000000" w:rsidRPr="00000000">
        <w:rPr>
          <w:rFonts w:ascii="Times New Roman" w:cs="Times New Roman" w:eastAsia="Times New Roman" w:hAnsi="Times New Roman"/>
          <w:sz w:val="24"/>
          <w:szCs w:val="24"/>
          <w:rtl w:val="0"/>
        </w:rPr>
        <w:t xml:space="preserve">: the one RFQ, As-Is (measured) vs. To-Be (simulated) — cost, time, margin. The vignette closes its financial loop here.</w:t>
      </w:r>
      <w:r w:rsidDel="00000000" w:rsidR="00000000" w:rsidRPr="00000000">
        <w:rPr>
          <w:rtl w:val="0"/>
        </w:rPr>
      </w:r>
    </w:p>
    <w:p w:rsidR="00000000" w:rsidDel="00000000" w:rsidP="00000000" w:rsidRDefault="00000000" w:rsidRPr="00000000" w14:paraId="000001A8">
      <w:pPr>
        <w:pStyle w:val="Heading1"/>
        <w:keepNext w:val="0"/>
        <w:keepLines w:val="0"/>
        <w:spacing w:after="140" w:before="0" w:line="360" w:lineRule="auto"/>
        <w:rPr>
          <w:rFonts w:ascii="Times New Roman" w:cs="Times New Roman" w:eastAsia="Times New Roman" w:hAnsi="Times New Roman"/>
          <w:b w:val="1"/>
          <w:bCs w:val="1"/>
          <w:color w:val="1f4e5f"/>
          <w:sz w:val="24"/>
          <w:szCs w:val="24"/>
        </w:rPr>
      </w:pPr>
      <w:bookmarkStart w:colFirst="0" w:colLast="0" w:name="_hup583hi7lrw" w:id="56"/>
      <w:bookmarkEnd w:id="56"/>
      <w:r w:rsidDel="00000000" w:rsidR="00000000" w:rsidRPr="00000000">
        <w:rPr>
          <w:rFonts w:ascii="Times New Roman" w:cs="Times New Roman" w:eastAsia="Times New Roman" w:hAnsi="Times New Roman"/>
          <w:b w:val="1"/>
          <w:bCs w:val="1"/>
          <w:color w:val="1f4e5f"/>
          <w:sz w:val="24"/>
          <w:szCs w:val="24"/>
          <w:rtl w:val="0"/>
        </w:rPr>
        <w:t xml:space="preserve">Section 10 — Business Model &amp; Strategic Implications</w:t>
      </w:r>
    </w:p>
    <w:p w:rsidR="00000000" w:rsidDel="00000000" w:rsidP="00000000" w:rsidRDefault="00000000" w:rsidRPr="00000000" w14:paraId="000001A9">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8p0llldp6eka" w:id="57"/>
      <w:bookmarkEnd w:id="57"/>
      <w:r w:rsidDel="00000000" w:rsidR="00000000" w:rsidRPr="00000000">
        <w:rPr>
          <w:rFonts w:ascii="Times New Roman" w:cs="Times New Roman" w:eastAsia="Times New Roman" w:hAnsi="Times New Roman"/>
          <w:b w:val="1"/>
          <w:bCs w:val="1"/>
          <w:color w:val="2e6e7e"/>
          <w:sz w:val="24"/>
          <w:szCs w:val="24"/>
          <w:rtl w:val="0"/>
        </w:rPr>
        <w:t xml:space="preserve">10.1 Dual Business Model Canvas</w:t>
      </w:r>
    </w:p>
    <w:p w:rsidR="00000000" w:rsidDel="00000000" w:rsidP="00000000" w:rsidRDefault="00000000" w:rsidRPr="00000000" w14:paraId="000001AA">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 and proposed To-Be side by side (full size in appendix); commentary only on blocks that change. The key insight to surface: </w:t>
      </w:r>
      <w:r w:rsidDel="00000000" w:rsidR="00000000" w:rsidRPr="00000000">
        <w:rPr>
          <w:rFonts w:ascii="Times New Roman" w:cs="Times New Roman" w:eastAsia="Times New Roman" w:hAnsi="Times New Roman"/>
          <w:b w:val="1"/>
          <w:bCs w:val="1"/>
          <w:sz w:val="24"/>
          <w:szCs w:val="24"/>
          <w:rtl w:val="0"/>
        </w:rPr>
        <w:t xml:space="preserve">the key resource would migrate from engineer expertise to proprietary transaction data</w:t>
      </w:r>
      <w:r w:rsidDel="00000000" w:rsidR="00000000" w:rsidRPr="00000000">
        <w:rPr>
          <w:rFonts w:ascii="Times New Roman" w:cs="Times New Roman" w:eastAsia="Times New Roman" w:hAnsi="Times New Roman"/>
          <w:sz w:val="24"/>
          <w:szCs w:val="24"/>
          <w:rtl w:val="0"/>
        </w:rPr>
        <w:t xml:space="preserve"> (RFQs × selections × prices × win/loss outcomes) — a compounding asset competitors cannot buy.</w:t>
      </w:r>
    </w:p>
    <w:p w:rsidR="00000000" w:rsidDel="00000000" w:rsidP="00000000" w:rsidRDefault="00000000" w:rsidRPr="00000000" w14:paraId="000001AB">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q7dtou7fzj9g" w:id="58"/>
      <w:bookmarkEnd w:id="58"/>
      <w:r w:rsidDel="00000000" w:rsidR="00000000" w:rsidRPr="00000000">
        <w:rPr>
          <w:rFonts w:ascii="Times New Roman" w:cs="Times New Roman" w:eastAsia="Times New Roman" w:hAnsi="Times New Roman"/>
          <w:b w:val="1"/>
          <w:bCs w:val="1"/>
          <w:color w:val="2e6e7e"/>
          <w:sz w:val="24"/>
          <w:szCs w:val="24"/>
          <w:rtl w:val="0"/>
        </w:rPr>
        <w:t xml:space="preserve">10.2 Resolving the disintermediation question</w:t>
      </w:r>
    </w:p>
    <w:p w:rsidR="00000000" w:rsidDel="00000000" w:rsidP="00000000" w:rsidRDefault="00000000" w:rsidRPr="00000000" w14:paraId="000001AC">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futures: (a) manufacturers automate selection and go direct; (b) contractors self-serve via manufacturer tools; (c) the distributor automates first and becomes the multi-manufacturer platform of record. Argue why moving first makes (c) attainable — neutrality across brands, embedded contractor workflow, the data flywheel from 7.6 — and concede the conditions under which (a) wins anyway. The ex-ante frame strengthens this section: you are arguing about strategic option value, which is inherently forward-looking. Give it a full page; it is the paper’s intellectual climax.</w:t>
      </w:r>
    </w:p>
    <w:p w:rsidR="00000000" w:rsidDel="00000000" w:rsidP="00000000" w:rsidRDefault="00000000" w:rsidRPr="00000000" w14:paraId="000001AD">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g9t535efog30" w:id="59"/>
      <w:bookmarkEnd w:id="59"/>
      <w:r w:rsidDel="00000000" w:rsidR="00000000" w:rsidRPr="00000000">
        <w:rPr>
          <w:rFonts w:ascii="Times New Roman" w:cs="Times New Roman" w:eastAsia="Times New Roman" w:hAnsi="Times New Roman"/>
          <w:b w:val="1"/>
          <w:bCs w:val="1"/>
          <w:color w:val="2e6e7e"/>
          <w:sz w:val="24"/>
          <w:szCs w:val="24"/>
          <w:rtl w:val="0"/>
        </w:rPr>
        <w:t xml:space="preserve">10.3 New strategic options unlocked</w:t>
      </w:r>
    </w:p>
    <w:p w:rsidR="00000000" w:rsidDel="00000000" w:rsidP="00000000" w:rsidRDefault="00000000" w:rsidRPr="00000000" w14:paraId="000001AE">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paragraphs, labelled as options not commitments: quotes-as-a-product (“2-hour guaranteed response”), a contractor self-service portal, licensing the capability to non-competing distributors.</w:t>
      </w:r>
    </w:p>
    <w:p w:rsidR="00000000" w:rsidDel="00000000" w:rsidP="00000000" w:rsidRDefault="00000000" w:rsidRPr="00000000" w14:paraId="000001AF">
      <w:pPr>
        <w:pStyle w:val="Heading1"/>
        <w:keepNext w:val="0"/>
        <w:keepLines w:val="0"/>
        <w:spacing w:after="140" w:before="0" w:line="360" w:lineRule="auto"/>
        <w:rPr>
          <w:rFonts w:ascii="Times New Roman" w:cs="Times New Roman" w:eastAsia="Times New Roman" w:hAnsi="Times New Roman"/>
          <w:b w:val="1"/>
          <w:bCs w:val="1"/>
          <w:color w:val="1f4e5f"/>
          <w:sz w:val="24"/>
          <w:szCs w:val="24"/>
        </w:rPr>
      </w:pPr>
      <w:bookmarkStart w:colFirst="0" w:colLast="0" w:name="_3tur3rie0u2p" w:id="60"/>
      <w:bookmarkEnd w:id="60"/>
      <w:r w:rsidDel="00000000" w:rsidR="00000000" w:rsidRPr="00000000">
        <w:rPr>
          <w:rFonts w:ascii="Times New Roman" w:cs="Times New Roman" w:eastAsia="Times New Roman" w:hAnsi="Times New Roman"/>
          <w:b w:val="1"/>
          <w:bCs w:val="1"/>
          <w:color w:val="1f4e5f"/>
          <w:sz w:val="24"/>
          <w:szCs w:val="24"/>
          <w:rtl w:val="0"/>
        </w:rPr>
        <w:t xml:space="preserve">Section 11 — Recommended Implementation Path, Change &amp; Risk</w:t>
      </w:r>
    </w:p>
    <w:p w:rsidR="00000000" w:rsidDel="00000000" w:rsidP="00000000" w:rsidRDefault="00000000" w:rsidRPr="00000000" w14:paraId="000001B0">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q5jpuvv0hgfv" w:id="61"/>
      <w:bookmarkEnd w:id="61"/>
      <w:r w:rsidDel="00000000" w:rsidR="00000000" w:rsidRPr="00000000">
        <w:rPr>
          <w:rFonts w:ascii="Times New Roman" w:cs="Times New Roman" w:eastAsia="Times New Roman" w:hAnsi="Times New Roman"/>
          <w:b w:val="1"/>
          <w:bCs w:val="1"/>
          <w:color w:val="2e6e7e"/>
          <w:sz w:val="24"/>
          <w:szCs w:val="24"/>
          <w:rtl w:val="0"/>
        </w:rPr>
        <w:t xml:space="preserve">11.1 Stage-gated roadmap</w:t>
      </w:r>
    </w:p>
    <w:p w:rsidR="00000000" w:rsidDel="00000000" w:rsidP="00000000" w:rsidRDefault="00000000" w:rsidRPr="00000000" w14:paraId="000001B1">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Reframe Phase 1 explicitly as </w:t>
      </w:r>
      <w:r w:rsidDel="00000000" w:rsidR="00000000" w:rsidRPr="00000000">
        <w:rPr>
          <w:rFonts w:ascii="Times New Roman" w:cs="Times New Roman" w:eastAsia="Times New Roman" w:hAnsi="Times New Roman"/>
          <w:b w:val="1"/>
          <w:bCs w:val="1"/>
          <w:sz w:val="24"/>
          <w:szCs w:val="24"/>
          <w:rtl w:val="0"/>
        </w:rPr>
        <w:t xml:space="preserve">the validation experiment this paper could not run</w:t>
      </w:r>
      <w:r w:rsidDel="00000000" w:rsidR="00000000" w:rsidRPr="00000000">
        <w:rPr>
          <w:rFonts w:ascii="Times New Roman" w:cs="Times New Roman" w:eastAsia="Times New Roman" w:hAnsi="Times New Roman"/>
          <w:sz w:val="24"/>
          <w:szCs w:val="24"/>
          <w:rtl w:val="0"/>
        </w:rPr>
        <w:t xml:space="preserve">: a bounded pilot (e.g., 3 months, one RFQ tier, shadow-mode operation alongside the manual process) designed to test, one for one, the unproven-assumption register from 8.4 — live extraction accuracy, review time, engineer adoption, contractor reaction. Each gate carries metric thresholds and </w:t>
      </w:r>
      <w:r w:rsidDel="00000000" w:rsidR="00000000" w:rsidRPr="00000000">
        <w:rPr>
          <w:rFonts w:ascii="Times New Roman" w:cs="Times New Roman" w:eastAsia="Times New Roman" w:hAnsi="Times New Roman"/>
          <w:b w:val="1"/>
          <w:bCs w:val="1"/>
          <w:sz w:val="24"/>
          <w:szCs w:val="24"/>
          <w:rtl w:val="0"/>
        </w:rPr>
        <w:t xml:space="preserve">kill criteria</w:t>
      </w:r>
      <w:r w:rsidDel="00000000" w:rsidR="00000000" w:rsidRPr="00000000">
        <w:rPr>
          <w:rFonts w:ascii="Times New Roman" w:cs="Times New Roman" w:eastAsia="Times New Roman" w:hAnsi="Times New Roman"/>
          <w:sz w:val="24"/>
          <w:szCs w:val="24"/>
          <w:rtl w:val="0"/>
        </w:rPr>
        <w:t xml:space="preserve"> (“if live extraction accuracy &lt; X% after N RFQs, stop and revert to Option A”). Recommending an investment with pre-committed kill criteria is the most credible posture available to an ex-ante business case.</w:t>
      </w:r>
    </w:p>
    <w:p w:rsidR="00000000" w:rsidDel="00000000" w:rsidP="00000000" w:rsidRDefault="00000000" w:rsidRPr="00000000" w14:paraId="000001B2">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37f6y7vuqxov" w:id="62"/>
      <w:bookmarkEnd w:id="62"/>
      <w:r w:rsidDel="00000000" w:rsidR="00000000" w:rsidRPr="00000000">
        <w:rPr>
          <w:rFonts w:ascii="Times New Roman" w:cs="Times New Roman" w:eastAsia="Times New Roman" w:hAnsi="Times New Roman"/>
          <w:b w:val="1"/>
          <w:bCs w:val="1"/>
          <w:color w:val="2e6e7e"/>
          <w:sz w:val="24"/>
          <w:szCs w:val="24"/>
          <w:rtl w:val="0"/>
        </w:rPr>
        <w:t xml:space="preserve">11.2 Change management, applied</w:t>
      </w:r>
    </w:p>
    <w:p w:rsidR="00000000" w:rsidDel="00000000" w:rsidP="00000000" w:rsidRDefault="00000000" w:rsidRPr="00000000" w14:paraId="000001B3">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framework (Kotter or ADKAR), applied not recited. Core moves: engineers co-design and run the pilot; KPIs redesigned from quotes-produced to win-rate-and-margin; the redeployment promise from 9.2 made explicit and public early.</w:t>
      </w:r>
    </w:p>
    <w:p w:rsidR="00000000" w:rsidDel="00000000" w:rsidP="00000000" w:rsidRDefault="00000000" w:rsidRPr="00000000" w14:paraId="000001B4">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wherjrulwnsv" w:id="63"/>
      <w:bookmarkEnd w:id="63"/>
      <w:r w:rsidDel="00000000" w:rsidR="00000000" w:rsidRPr="00000000">
        <w:rPr>
          <w:rFonts w:ascii="Times New Roman" w:cs="Times New Roman" w:eastAsia="Times New Roman" w:hAnsi="Times New Roman"/>
          <w:b w:val="1"/>
          <w:bCs w:val="1"/>
          <w:color w:val="2e6e7e"/>
          <w:sz w:val="24"/>
          <w:szCs w:val="24"/>
          <w:rtl w:val="0"/>
        </w:rPr>
        <w:t xml:space="preserve">11.3 Liability &amp; trust</w:t>
      </w:r>
    </w:p>
    <w:p w:rsidR="00000000" w:rsidDel="00000000" w:rsidP="00000000" w:rsidRDefault="00000000" w:rsidRPr="00000000" w14:paraId="000001B5">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would legally sign an automated quote? Does professional-indemnity insurance require an engineer’s approval — and if yes, </w:t>
      </w:r>
      <w:r w:rsidDel="00000000" w:rsidR="00000000" w:rsidRPr="00000000">
        <w:rPr>
          <w:rFonts w:ascii="Times New Roman" w:cs="Times New Roman" w:eastAsia="Times New Roman" w:hAnsi="Times New Roman"/>
          <w:b w:val="1"/>
          <w:bCs w:val="1"/>
          <w:sz w:val="24"/>
          <w:szCs w:val="24"/>
          <w:rtl w:val="0"/>
        </w:rPr>
        <w:t xml:space="preserve">what ceiling does that place on the automation rate assumed in 8.2 and 9.5?</w:t>
      </w:r>
      <w:r w:rsidDel="00000000" w:rsidR="00000000" w:rsidRPr="00000000">
        <w:rPr>
          <w:rFonts w:ascii="Times New Roman" w:cs="Times New Roman" w:eastAsia="Times New Roman" w:hAnsi="Times New Roman"/>
          <w:sz w:val="24"/>
          <w:szCs w:val="24"/>
          <w:rtl w:val="0"/>
        </w:rPr>
        <w:t xml:space="preserve"> Close the loop explicitly; catching this circularity is worth real marks. Include contractor-facing trust design: quotes state review status; complex quotes always carry an engineer’s name.</w:t>
      </w:r>
    </w:p>
    <w:p w:rsidR="00000000" w:rsidDel="00000000" w:rsidP="00000000" w:rsidRDefault="00000000" w:rsidRPr="00000000" w14:paraId="000001B6">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39aoq4y6jks8" w:id="64"/>
      <w:bookmarkEnd w:id="64"/>
      <w:r w:rsidDel="00000000" w:rsidR="00000000" w:rsidRPr="00000000">
        <w:rPr>
          <w:rFonts w:ascii="Times New Roman" w:cs="Times New Roman" w:eastAsia="Times New Roman" w:hAnsi="Times New Roman"/>
          <w:b w:val="1"/>
          <w:bCs w:val="1"/>
          <w:color w:val="2e6e7e"/>
          <w:sz w:val="24"/>
          <w:szCs w:val="24"/>
          <w:rtl w:val="0"/>
        </w:rPr>
        <w:t xml:space="preserve">11.4 Risk register</w:t>
      </w:r>
    </w:p>
    <w:p w:rsidR="00000000" w:rsidDel="00000000" w:rsidP="00000000" w:rsidRDefault="00000000" w:rsidRPr="00000000" w14:paraId="000001B7">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(full version in appendix): technical (real documents exceed audited sample messiness) · commercial (contractors discount automated quotes) · organizational (engineer attrition) · legal (mis-specification liability) · vendor/model dependency · data protection · </w:t>
      </w:r>
      <w:r w:rsidDel="00000000" w:rsidR="00000000" w:rsidRPr="00000000">
        <w:rPr>
          <w:rFonts w:ascii="Times New Roman" w:cs="Times New Roman" w:eastAsia="Times New Roman" w:hAnsi="Times New Roman"/>
          <w:b w:val="1"/>
          <w:bCs w:val="1"/>
          <w:sz w:val="24"/>
          <w:szCs w:val="24"/>
          <w:rtl w:val="0"/>
        </w:rPr>
        <w:t xml:space="preserve">model risk (new): </w:t>
      </w:r>
      <w:r w:rsidDel="00000000" w:rsidR="00000000" w:rsidRPr="00000000">
        <w:rPr>
          <w:rFonts w:ascii="Times New Roman" w:cs="Times New Roman" w:eastAsia="Times New Roman" w:hAnsi="Times New Roman"/>
          <w:sz w:val="24"/>
          <w:szCs w:val="24"/>
          <w:rtl w:val="0"/>
        </w:rPr>
        <w:t xml:space="preserve">the simulation itself may be wrong — mitigated by the calibration in 8.2 and the pilot in 11.1. Likelihood × impact × mitigation × owner.</w:t>
      </w:r>
    </w:p>
    <w:p w:rsidR="00000000" w:rsidDel="00000000" w:rsidP="00000000" w:rsidRDefault="00000000" w:rsidRPr="00000000" w14:paraId="000001B8">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c9motibgowws" w:id="65"/>
      <w:bookmarkEnd w:id="65"/>
      <w:r w:rsidDel="00000000" w:rsidR="00000000" w:rsidRPr="00000000">
        <w:rPr>
          <w:rFonts w:ascii="Times New Roman" w:cs="Times New Roman" w:eastAsia="Times New Roman" w:hAnsi="Times New Roman"/>
          <w:b w:val="1"/>
          <w:bCs w:val="1"/>
          <w:color w:val="2e6e7e"/>
          <w:sz w:val="24"/>
          <w:szCs w:val="24"/>
          <w:rtl w:val="0"/>
        </w:rPr>
        <w:t xml:space="preserve">11.5 Governance dashboard</w:t>
      </w:r>
    </w:p>
    <w:p w:rsidR="00000000" w:rsidDel="00000000" w:rsidP="00000000" w:rsidRDefault="00000000" w:rsidRPr="00000000" w14:paraId="000001B9">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seven KPIs the pilot and any rollout would run on: automation rate, override rate, extraction accuracy, cycle time (median/P90), win rate, margin per quote, error escapes — each with a target trajectory by phase, and each mapped to the simulation output it validates or refutes.</w:t>
      </w:r>
    </w:p>
    <w:p w:rsidR="00000000" w:rsidDel="00000000" w:rsidP="00000000" w:rsidRDefault="00000000" w:rsidRPr="00000000" w14:paraId="000001BA">
      <w:pPr>
        <w:pStyle w:val="Heading1"/>
        <w:keepNext w:val="0"/>
        <w:keepLines w:val="0"/>
        <w:spacing w:after="140" w:before="0" w:line="360" w:lineRule="auto"/>
        <w:rPr>
          <w:rFonts w:ascii="Times New Roman" w:cs="Times New Roman" w:eastAsia="Times New Roman" w:hAnsi="Times New Roman"/>
          <w:b w:val="1"/>
          <w:bCs w:val="1"/>
          <w:color w:val="1f4e5f"/>
          <w:sz w:val="24"/>
          <w:szCs w:val="24"/>
        </w:rPr>
      </w:pPr>
      <w:bookmarkStart w:colFirst="0" w:colLast="0" w:name="_gau2r68a9uqg" w:id="66"/>
      <w:bookmarkEnd w:id="66"/>
      <w:r w:rsidDel="00000000" w:rsidR="00000000" w:rsidRPr="00000000">
        <w:rPr>
          <w:rFonts w:ascii="Times New Roman" w:cs="Times New Roman" w:eastAsia="Times New Roman" w:hAnsi="Times New Roman"/>
          <w:b w:val="1"/>
          <w:bCs w:val="1"/>
          <w:color w:val="1f4e5f"/>
          <w:sz w:val="24"/>
          <w:szCs w:val="24"/>
          <w:rtl w:val="0"/>
        </w:rPr>
        <w:t xml:space="preserve">Section 12 — Limitations &amp; Generalizability</w:t>
      </w:r>
    </w:p>
    <w:p w:rsidR="00000000" w:rsidDel="00000000" w:rsidP="00000000" w:rsidRDefault="00000000" w:rsidRPr="00000000" w14:paraId="000001BB">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qvo61p9p1yi1" w:id="67"/>
      <w:bookmarkEnd w:id="67"/>
      <w:r w:rsidDel="00000000" w:rsidR="00000000" w:rsidRPr="00000000">
        <w:rPr>
          <w:rFonts w:ascii="Times New Roman" w:cs="Times New Roman" w:eastAsia="Times New Roman" w:hAnsi="Times New Roman"/>
          <w:b w:val="1"/>
          <w:bCs w:val="1"/>
          <w:color w:val="2e6e7e"/>
          <w:sz w:val="24"/>
          <w:szCs w:val="24"/>
          <w:rtl w:val="0"/>
        </w:rPr>
        <w:t xml:space="preserve">12.1 Limitations</w:t>
      </w:r>
    </w:p>
    <w:p w:rsidR="00000000" w:rsidDel="00000000" w:rsidP="00000000" w:rsidRDefault="00000000" w:rsidRPr="00000000" w14:paraId="000001BC">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Stated plainly and without apology: ex-ante study — no implementation evidence; projections rest on a calibrated simulation and an audited sample, not observed performance; stated contractor preferences may differ from revealed behaviour; elasticities triangulated, not experimental; CAD out of scope. Then the turn: </w:t>
      </w:r>
      <w:r w:rsidDel="00000000" w:rsidR="00000000" w:rsidRPr="00000000">
        <w:rPr>
          <w:rFonts w:ascii="Times New Roman" w:cs="Times New Roman" w:eastAsia="Times New Roman" w:hAnsi="Times New Roman"/>
          <w:i w:val="1"/>
          <w:iCs w:val="1"/>
          <w:sz w:val="24"/>
          <w:szCs w:val="24"/>
          <w:rtl w:val="0"/>
        </w:rPr>
        <w:t xml:space="preserve">“These limitations define precisely the evidentiary agenda of the Phase 1 pilot proposed in Section 11.”</w:t>
      </w:r>
      <w:r w:rsidDel="00000000" w:rsidR="00000000" w:rsidRPr="00000000">
        <w:rPr>
          <w:rFonts w:ascii="Times New Roman" w:cs="Times New Roman" w:eastAsia="Times New Roman" w:hAnsi="Times New Roman"/>
          <w:sz w:val="24"/>
          <w:szCs w:val="24"/>
          <w:rtl w:val="0"/>
        </w:rPr>
        <w:t xml:space="preserve"> Limitations that flow into a designed next step read as strength, not weakness.</w:t>
      </w:r>
    </w:p>
    <w:p w:rsidR="00000000" w:rsidDel="00000000" w:rsidP="00000000" w:rsidRDefault="00000000" w:rsidRPr="00000000" w14:paraId="000001BD">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oeeapshuwkug" w:id="68"/>
      <w:bookmarkEnd w:id="68"/>
      <w:r w:rsidDel="00000000" w:rsidR="00000000" w:rsidRPr="00000000">
        <w:rPr>
          <w:rFonts w:ascii="Times New Roman" w:cs="Times New Roman" w:eastAsia="Times New Roman" w:hAnsi="Times New Roman"/>
          <w:b w:val="1"/>
          <w:bCs w:val="1"/>
          <w:color w:val="2e6e7e"/>
          <w:sz w:val="24"/>
          <w:szCs w:val="24"/>
          <w:rtl w:val="0"/>
        </w:rPr>
        <w:t xml:space="preserve">12.2 Generalizability</w:t>
      </w:r>
    </w:p>
    <w:p w:rsidR="00000000" w:rsidDel="00000000" w:rsidP="00000000" w:rsidRDefault="00000000" w:rsidRPr="00000000" w14:paraId="000001BE">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pattern (probabilistic intake + deterministic engineering + confidence routing) and the ex-ante evaluation method both generalize to engineered-product distribution (HVAC, valves, switchgear); the specific economics do not. One sentence of discipline.</w:t>
      </w:r>
    </w:p>
    <w:p w:rsidR="00000000" w:rsidDel="00000000" w:rsidP="00000000" w:rsidRDefault="00000000" w:rsidRPr="00000000" w14:paraId="000001BF">
      <w:pPr>
        <w:pStyle w:val="Heading1"/>
        <w:keepNext w:val="0"/>
        <w:keepLines w:val="0"/>
        <w:spacing w:after="140" w:before="0" w:line="360" w:lineRule="auto"/>
        <w:rPr>
          <w:rFonts w:ascii="Times New Roman" w:cs="Times New Roman" w:eastAsia="Times New Roman" w:hAnsi="Times New Roman"/>
          <w:b w:val="1"/>
          <w:bCs w:val="1"/>
          <w:color w:val="1f4e5f"/>
          <w:sz w:val="24"/>
          <w:szCs w:val="24"/>
        </w:rPr>
      </w:pPr>
      <w:bookmarkStart w:colFirst="0" w:colLast="0" w:name="_vtuzmhvtwyy" w:id="69"/>
      <w:bookmarkEnd w:id="69"/>
      <w:r w:rsidDel="00000000" w:rsidR="00000000" w:rsidRPr="00000000">
        <w:rPr>
          <w:rFonts w:ascii="Times New Roman" w:cs="Times New Roman" w:eastAsia="Times New Roman" w:hAnsi="Times New Roman"/>
          <w:b w:val="1"/>
          <w:bCs w:val="1"/>
          <w:color w:val="1f4e5f"/>
          <w:sz w:val="24"/>
          <w:szCs w:val="24"/>
          <w:rtl w:val="0"/>
        </w:rPr>
        <w:t xml:space="preserve">Section 13 — Conclusion</w:t>
      </w:r>
    </w:p>
    <w:p w:rsidR="00000000" w:rsidDel="00000000" w:rsidP="00000000" w:rsidRDefault="00000000" w:rsidRPr="00000000" w14:paraId="000001C0">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 RQ1, RQ2, RQ3 in order, one paragraph each, with the evidence tag visible in the prose (“the audited feasibility range…”, “the simulated P50 NPV…”).</w:t>
      </w:r>
    </w:p>
    <w:p w:rsidR="00000000" w:rsidDel="00000000" w:rsidP="00000000" w:rsidRDefault="00000000" w:rsidRPr="00000000" w14:paraId="000001C1">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 the recommendation exactly as framed in 1.5: a stage-gated pilot investment with explicit kill criteria — a decision under uncertainty, honestly priced.</w:t>
      </w:r>
    </w:p>
    <w:p w:rsidR="00000000" w:rsidDel="00000000" w:rsidP="00000000" w:rsidRDefault="00000000" w:rsidRPr="00000000" w14:paraId="000001C2">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Close on Innovo, in the conditional: </w:t>
      </w:r>
      <w:r w:rsidDel="00000000" w:rsidR="00000000" w:rsidRPr="00000000">
        <w:rPr>
          <w:rFonts w:ascii="Times New Roman" w:cs="Times New Roman" w:eastAsia="Times New Roman" w:hAnsi="Times New Roman"/>
          <w:i w:val="1"/>
          <w:iCs w:val="1"/>
          <w:sz w:val="24"/>
          <w:szCs w:val="24"/>
          <w:rtl w:val="0"/>
        </w:rPr>
        <w:t xml:space="preserve">the same RFQ, one day instead of seven, reviewed by an engineer whose expertise would be trained on the ten hardest projects on her desk rather than the forty easiest — a future this analysis suggests is worth a €X experiment to prove.</w:t>
      </w:r>
      <w:r w:rsidDel="00000000" w:rsidR="00000000" w:rsidRPr="00000000">
        <w:rPr>
          <w:rFonts w:ascii="Times New Roman" w:cs="Times New Roman" w:eastAsia="Times New Roman" w:hAnsi="Times New Roman"/>
          <w:sz w:val="24"/>
          <w:szCs w:val="24"/>
          <w:rtl w:val="0"/>
        </w:rPr>
        <w:t xml:space="preserve"> End the story you opened with.</w:t>
      </w:r>
    </w:p>
    <w:p w:rsidR="00000000" w:rsidDel="00000000" w:rsidP="00000000" w:rsidRDefault="00000000" w:rsidRPr="00000000" w14:paraId="000001C3">
      <w:pPr>
        <w:pStyle w:val="Heading1"/>
        <w:keepNext w:val="0"/>
        <w:keepLines w:val="0"/>
        <w:spacing w:after="140" w:before="0" w:line="360" w:lineRule="auto"/>
        <w:rPr>
          <w:rFonts w:ascii="Times New Roman" w:cs="Times New Roman" w:eastAsia="Times New Roman" w:hAnsi="Times New Roman"/>
          <w:b w:val="1"/>
          <w:bCs w:val="1"/>
          <w:color w:val="1f4e5f"/>
          <w:sz w:val="24"/>
          <w:szCs w:val="24"/>
        </w:rPr>
      </w:pPr>
      <w:bookmarkStart w:colFirst="0" w:colLast="0" w:name="_apprrwbs79vv" w:id="70"/>
      <w:bookmarkEnd w:id="70"/>
      <w:r w:rsidDel="00000000" w:rsidR="00000000" w:rsidRPr="00000000">
        <w:rPr>
          <w:rFonts w:ascii="Times New Roman" w:cs="Times New Roman" w:eastAsia="Times New Roman" w:hAnsi="Times New Roman"/>
          <w:b w:val="1"/>
          <w:bCs w:val="1"/>
          <w:color w:val="1f4e5f"/>
          <w:sz w:val="24"/>
          <w:szCs w:val="24"/>
          <w:rtl w:val="0"/>
        </w:rPr>
        <w:t xml:space="preserve">Appendices</w:t>
      </w:r>
    </w:p>
    <w:p w:rsidR="00000000" w:rsidDel="00000000" w:rsidP="00000000" w:rsidRDefault="00000000" w:rsidRPr="00000000" w14:paraId="000001C4">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 Assumptions Register</w:t>
      </w:r>
      <w:r w:rsidDel="00000000" w:rsidR="00000000" w:rsidRPr="00000000">
        <w:rPr>
          <w:rFonts w:ascii="Times New Roman" w:cs="Times New Roman" w:eastAsia="Times New Roman" w:hAnsi="Times New Roman"/>
          <w:sz w:val="24"/>
          <w:szCs w:val="24"/>
          <w:rtl w:val="0"/>
        </w:rPr>
        <w:t xml:space="preserve"> — build before writing anything else; single owner; every number traces here, tagged measured / audited / simulated.</w:t>
      </w:r>
    </w:p>
    <w:p w:rsidR="00000000" w:rsidDel="00000000" w:rsidP="00000000" w:rsidRDefault="00000000" w:rsidRPr="00000000" w14:paraId="000001C5">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 </w:t>
      </w:r>
      <w:r w:rsidDel="00000000" w:rsidR="00000000" w:rsidRPr="00000000">
        <w:rPr>
          <w:rFonts w:ascii="Times New Roman" w:cs="Times New Roman" w:eastAsia="Times New Roman" w:hAnsi="Times New Roman"/>
          <w:sz w:val="24"/>
          <w:szCs w:val="24"/>
          <w:rtl w:val="0"/>
        </w:rPr>
        <w:t xml:space="preserve">Full-size process maps (As-Is / proposed To-Be).</w:t>
      </w:r>
    </w:p>
    <w:p w:rsidR="00000000" w:rsidDel="00000000" w:rsidP="00000000" w:rsidRDefault="00000000" w:rsidRPr="00000000" w14:paraId="000001C6">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 </w:t>
      </w:r>
      <w:r w:rsidDel="00000000" w:rsidR="00000000" w:rsidRPr="00000000">
        <w:rPr>
          <w:rFonts w:ascii="Times New Roman" w:cs="Times New Roman" w:eastAsia="Times New Roman" w:hAnsi="Times New Roman"/>
          <w:sz w:val="24"/>
          <w:szCs w:val="24"/>
          <w:rtl w:val="0"/>
        </w:rPr>
        <w:t xml:space="preserve">Financial model — full assumptions, Monte Carlo input distributions, scenario and sensitivity tables.</w:t>
      </w:r>
    </w:p>
    <w:p w:rsidR="00000000" w:rsidDel="00000000" w:rsidP="00000000" w:rsidRDefault="00000000" w:rsidRPr="00000000" w14:paraId="000001C7">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 </w:t>
      </w:r>
      <w:r w:rsidDel="00000000" w:rsidR="00000000" w:rsidRPr="00000000">
        <w:rPr>
          <w:rFonts w:ascii="Times New Roman" w:cs="Times New Roman" w:eastAsia="Times New Roman" w:hAnsi="Times New Roman"/>
          <w:sz w:val="24"/>
          <w:szCs w:val="24"/>
          <w:rtl w:val="0"/>
        </w:rPr>
        <w:t xml:space="preserve">Interview guides + anonymized summaries (internal and contractor).</w:t>
      </w:r>
    </w:p>
    <w:p w:rsidR="00000000" w:rsidDel="00000000" w:rsidP="00000000" w:rsidRDefault="00000000" w:rsidRPr="00000000" w14:paraId="000001C8">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 </w:t>
      </w:r>
      <w:r w:rsidDel="00000000" w:rsidR="00000000" w:rsidRPr="00000000">
        <w:rPr>
          <w:rFonts w:ascii="Times New Roman" w:cs="Times New Roman" w:eastAsia="Times New Roman" w:hAnsi="Times New Roman"/>
          <w:sz w:val="24"/>
          <w:szCs w:val="24"/>
          <w:rtl w:val="0"/>
        </w:rPr>
        <w:t xml:space="preserve">Feasibility audit protocol, scoring rubric, and full results table (replaces the v2 PoC appendix).</w:t>
      </w:r>
    </w:p>
    <w:p w:rsidR="00000000" w:rsidDel="00000000" w:rsidP="00000000" w:rsidRDefault="00000000" w:rsidRPr="00000000" w14:paraId="000001C9">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 </w:t>
      </w:r>
      <w:r w:rsidDel="00000000" w:rsidR="00000000" w:rsidRPr="00000000">
        <w:rPr>
          <w:rFonts w:ascii="Times New Roman" w:cs="Times New Roman" w:eastAsia="Times New Roman" w:hAnsi="Times New Roman"/>
          <w:sz w:val="24"/>
          <w:szCs w:val="24"/>
          <w:rtl w:val="0"/>
        </w:rPr>
        <w:t xml:space="preserve">Process simulation model description, parameters, and calibration results.</w:t>
      </w:r>
    </w:p>
    <w:p w:rsidR="00000000" w:rsidDel="00000000" w:rsidP="00000000" w:rsidRDefault="00000000" w:rsidRPr="00000000" w14:paraId="000001CA">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 </w:t>
      </w:r>
      <w:r w:rsidDel="00000000" w:rsidR="00000000" w:rsidRPr="00000000">
        <w:rPr>
          <w:rFonts w:ascii="Times New Roman" w:cs="Times New Roman" w:eastAsia="Times New Roman" w:hAnsi="Times New Roman"/>
          <w:sz w:val="24"/>
          <w:szCs w:val="24"/>
          <w:rtl w:val="0"/>
        </w:rPr>
        <w:t xml:space="preserve">RFQ data schema (proposed) and a worked extraction example, hand-constructed from Innovo.</w:t>
      </w:r>
    </w:p>
    <w:p w:rsidR="00000000" w:rsidDel="00000000" w:rsidP="00000000" w:rsidRDefault="00000000" w:rsidRPr="00000000" w14:paraId="000001CB">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 </w:t>
      </w:r>
      <w:r w:rsidDel="00000000" w:rsidR="00000000" w:rsidRPr="00000000">
        <w:rPr>
          <w:rFonts w:ascii="Times New Roman" w:cs="Times New Roman" w:eastAsia="Times New Roman" w:hAnsi="Times New Roman"/>
          <w:sz w:val="24"/>
          <w:szCs w:val="24"/>
          <w:rtl w:val="0"/>
        </w:rPr>
        <w:t xml:space="preserve">Full risk register.</w:t>
      </w:r>
    </w:p>
    <w:p w:rsidR="00000000" w:rsidDel="00000000" w:rsidP="00000000" w:rsidRDefault="00000000" w:rsidRPr="00000000" w14:paraId="000001CC">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 </w:t>
      </w:r>
      <w:r w:rsidDel="00000000" w:rsidR="00000000" w:rsidRPr="00000000">
        <w:rPr>
          <w:rFonts w:ascii="Times New Roman" w:cs="Times New Roman" w:eastAsia="Times New Roman" w:hAnsi="Times New Roman"/>
          <w:sz w:val="24"/>
          <w:szCs w:val="24"/>
          <w:rtl w:val="0"/>
        </w:rPr>
        <w:t xml:space="preserve">Dual Business Model Canvas, full size.</w:t>
      </w:r>
    </w:p>
    <w:p w:rsidR="00000000" w:rsidDel="00000000" w:rsidP="00000000" w:rsidRDefault="00000000" w:rsidRPr="00000000" w14:paraId="000001CD">
      <w:pPr>
        <w:spacing w:after="80" w:line="360" w:lineRule="auto"/>
        <w:ind w:left="700" w:hanging="260"/>
        <w:rPr>
          <w:rFonts w:ascii="Times New Roman" w:cs="Times New Roman" w:eastAsia="Times New Roman" w:hAnsi="Times New Roman"/>
          <w:color w:val="1f4e5f"/>
          <w:sz w:val="24"/>
          <w:szCs w:val="24"/>
        </w:rPr>
      </w:pPr>
      <w:r w:rsidDel="00000000" w:rsidR="00000000" w:rsidRPr="00000000">
        <w:rPr>
          <w:rtl w:val="0"/>
        </w:rPr>
      </w:r>
    </w:p>
    <w:p w:rsidR="00000000" w:rsidDel="00000000" w:rsidP="00000000" w:rsidRDefault="00000000" w:rsidRPr="00000000" w14:paraId="000001C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keepNext w:val="0"/>
        <w:keepLines w:val="0"/>
        <w:spacing w:after="140" w:before="300" w:line="360" w:lineRule="auto"/>
        <w:rPr/>
      </w:pPr>
      <w:r w:rsidDel="00000000" w:rsidR="00000000" w:rsidRPr="00000000">
        <w:rPr>
          <w:rtl w:val="0"/>
        </w:rPr>
        <w:t xml:space="preserve">•    </w:t>
      </w:r>
      <w:r w:rsidDel="00000000" w:rsidR="00000000" w:rsidRPr="00000000">
        <w:rPr>
          <w:b w:val="1"/>
          <w:bCs w:val="1"/>
          <w:rtl w:val="0"/>
        </w:rPr>
        <w:t xml:space="preserve">J:</w:t>
      </w:r>
      <w:r w:rsidDel="00000000" w:rsidR="00000000" w:rsidRPr="00000000">
        <w:rPr>
          <w:rtl w:val="0"/>
        </w:rPr>
        <w:t xml:space="preserve"> Product data layer — classification standard, storage architecture, retrieval tooling and ingestion pipeline (technical specification).</w:t>
      </w:r>
    </w:p>
    <w:p w:rsidR="00000000" w:rsidDel="00000000" w:rsidP="00000000" w:rsidRDefault="00000000" w:rsidRPr="00000000" w14:paraId="000001D0">
      <w:pPr>
        <w:pStyle w:val="Heading2"/>
        <w:keepNext w:val="0"/>
        <w:keepLines w:val="0"/>
        <w:spacing w:after="140" w:before="300" w:line="360" w:lineRule="auto"/>
        <w:rPr>
          <w:b w:val="1"/>
          <w:bCs w:val="1"/>
        </w:rPr>
      </w:pPr>
      <w:bookmarkStart w:colFirst="0" w:colLast="0" w:name="_geuz0f2ty13u" w:id="71"/>
      <w:bookmarkEnd w:id="71"/>
      <w:r w:rsidDel="00000000" w:rsidR="00000000" w:rsidRPr="00000000">
        <w:rPr>
          <w:b w:val="1"/>
          <w:bCs w:val="1"/>
          <w:rtl w:val="0"/>
        </w:rPr>
        <w:t xml:space="preserve">Appendix B (extract) — Section 7 Exhibits</w:t>
      </w:r>
    </w:p>
    <w:p w:rsidR="00000000" w:rsidDel="00000000" w:rsidP="00000000" w:rsidRDefault="00000000" w:rsidRPr="00000000" w14:paraId="000001D1">
      <w:pPr>
        <w:keepNext w:val="0"/>
        <w:keepLines w:val="0"/>
        <w:spacing w:after="140" w:before="300" w:line="360" w:lineRule="auto"/>
        <w:rPr/>
      </w:pPr>
      <w:r w:rsidDel="00000000" w:rsidR="00000000" w:rsidRPr="00000000">
        <w:rPr>
          <w:rtl w:val="0"/>
        </w:rPr>
        <w:t xml:space="preserve">Exhibit 7.1. Projected to-be process for a Tier 2 inquiry. Every System-lane time is a simulation output; the bracketed ID names the Appendix A assumption that carries it. The contractor's reply time is the one interval no redesign controls, shown at its measured Section 4 value.</w:t>
      </w:r>
    </w:p>
    <w:p w:rsidR="00000000" w:rsidDel="00000000" w:rsidP="00000000" w:rsidRDefault="00000000" w:rsidRPr="00000000" w14:paraId="000001D2">
      <w:pPr>
        <w:keepNext w:val="0"/>
        <w:keepLines w:val="0"/>
        <w:spacing w:after="140" w:before="300" w:line="360" w:lineRule="auto"/>
        <w:rPr/>
      </w:pPr>
      <w:r w:rsidDel="00000000" w:rsidR="00000000" w:rsidRPr="00000000">
        <w:rPr>
          <w:rtl w:val="0"/>
        </w:rPr>
        <w:t xml:space="preserve">Exhibit 7.2. The proposed architecture. Probabilistic components (sand) are bought; deterministic, rules and data components (white) are built; the selection engine partners with the manufacturer's curve APIs. The dashed return path is the flywheel of Exhibit 7.3.</w:t>
      </w:r>
    </w:p>
    <w:p w:rsidR="00000000" w:rsidDel="00000000" w:rsidP="00000000" w:rsidRDefault="00000000" w:rsidRPr="00000000" w14:paraId="000001D3">
      <w:pPr>
        <w:keepNext w:val="0"/>
        <w:keepLines w:val="0"/>
        <w:spacing w:after="140" w:before="300" w:line="360" w:lineRule="auto"/>
        <w:rPr/>
      </w:pPr>
      <w:r w:rsidDel="00000000" w:rsidR="00000000" w:rsidRPr="00000000">
        <w:rPr>
          <w:rtl w:val="0"/>
        </w:rPr>
        <w:t xml:space="preserve">Exhibit 7.3. The correction flywheel. Constraint five of 7.1 makes every human intervention a labelled training example; accuracy rises, routing admits more inquiries to assisted and auto-draft paths, and freed capacity concentrates on complex, high-margin work. Projected mechanism; the pilot observes its first turn.</w:t>
      </w:r>
    </w:p>
    <w:p w:rsidR="00000000" w:rsidDel="00000000" w:rsidP="00000000" w:rsidRDefault="00000000" w:rsidRPr="00000000" w14:paraId="000001D4">
      <w:pPr>
        <w:pStyle w:val="Heading2"/>
        <w:keepNext w:val="0"/>
        <w:keepLines w:val="0"/>
        <w:spacing w:after="140" w:before="300" w:line="360" w:lineRule="auto"/>
        <w:rPr>
          <w:b w:val="1"/>
          <w:bCs w:val="1"/>
        </w:rPr>
      </w:pPr>
      <w:bookmarkStart w:colFirst="0" w:colLast="0" w:name="_1lppbkoe0gvw" w:id="72"/>
      <w:bookmarkEnd w:id="72"/>
      <w:r w:rsidDel="00000000" w:rsidR="00000000" w:rsidRPr="00000000">
        <w:rPr>
          <w:b w:val="1"/>
          <w:bCs w:val="1"/>
          <w:rtl w:val="0"/>
        </w:rPr>
        <w:t xml:space="preserve">Appendix G (extract) — Canonical RFQ Schema</w:t>
      </w:r>
    </w:p>
    <w:p w:rsidR="00000000" w:rsidDel="00000000" w:rsidP="00000000" w:rsidRDefault="00000000" w:rsidRPr="00000000" w14:paraId="000001D5">
      <w:pPr>
        <w:pStyle w:val="Heading1"/>
        <w:keepNext w:val="0"/>
        <w:keepLines w:val="0"/>
        <w:spacing w:after="140" w:before="300" w:line="360" w:lineRule="auto"/>
        <w:rPr>
          <w:rFonts w:ascii="Times New Roman" w:cs="Times New Roman" w:eastAsia="Times New Roman" w:hAnsi="Times New Roman"/>
          <w:b w:val="1"/>
          <w:bCs w:val="1"/>
          <w:color w:val="1f4e5f"/>
          <w:sz w:val="24"/>
          <w:szCs w:val="24"/>
        </w:rPr>
      </w:pPr>
      <w:bookmarkStart w:colFirst="0" w:colLast="0" w:name="_oclyr11irm5n" w:id="73"/>
      <w:bookmarkEnd w:id="73"/>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4e5f"/>
                <w:sz w:val="24"/>
                <w:szCs w:val="24"/>
              </w:rPr>
            </w:pPr>
            <w:r w:rsidDel="00000000" w:rsidR="00000000" w:rsidRPr="00000000">
              <w:rPr>
                <w:rFonts w:ascii="Times New Roman" w:cs="Times New Roman" w:eastAsia="Times New Roman" w:hAnsi="Times New Roman"/>
                <w:b w:val="1"/>
                <w:bCs w:val="1"/>
                <w:color w:val="1f4e5f"/>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4e5f"/>
                <w:sz w:val="24"/>
                <w:szCs w:val="24"/>
              </w:rPr>
            </w:pPr>
            <w:r w:rsidDel="00000000" w:rsidR="00000000" w:rsidRPr="00000000">
              <w:rPr>
                <w:rFonts w:ascii="Times New Roman" w:cs="Times New Roman" w:eastAsia="Times New Roman" w:hAnsi="Times New Roman"/>
                <w:b w:val="1"/>
                <w:bCs w:val="1"/>
                <w:color w:val="1f4e5f"/>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4e5f"/>
                <w:sz w:val="24"/>
                <w:szCs w:val="24"/>
              </w:rPr>
            </w:pPr>
            <w:r w:rsidDel="00000000" w:rsidR="00000000" w:rsidRPr="00000000">
              <w:rPr>
                <w:rFonts w:ascii="Times New Roman" w:cs="Times New Roman" w:eastAsia="Times New Roman" w:hAnsi="Times New Roman"/>
                <w:b w:val="1"/>
                <w:bCs w:val="1"/>
                <w:color w:val="1f4e5f"/>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4e5f"/>
                <w:sz w:val="24"/>
                <w:szCs w:val="24"/>
              </w:rPr>
            </w:pPr>
            <w:r w:rsidDel="00000000" w:rsidR="00000000" w:rsidRPr="00000000">
              <w:rPr>
                <w:rFonts w:ascii="Times New Roman" w:cs="Times New Roman" w:eastAsia="Times New Roman" w:hAnsi="Times New Roman"/>
                <w:b w:val="1"/>
                <w:bCs w:val="1"/>
                <w:color w:val="1f4e5f"/>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4e5f"/>
                <w:sz w:val="24"/>
                <w:szCs w:val="24"/>
              </w:rPr>
            </w:pPr>
            <w:r w:rsidDel="00000000" w:rsidR="00000000" w:rsidRPr="00000000">
              <w:rPr>
                <w:rFonts w:ascii="Times New Roman" w:cs="Times New Roman" w:eastAsia="Times New Roman" w:hAnsi="Times New Roman"/>
                <w:b w:val="1"/>
                <w:bCs w:val="1"/>
                <w:color w:val="1f4e5f"/>
                <w:sz w:val="24"/>
                <w:szCs w:val="24"/>
                <w:rtl w:val="0"/>
              </w:rPr>
              <w:t xml:space="preserve">Typical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Contractor &amp; project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Email header / body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System type (booster, circulation, transfer, chilled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Schedule / spec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Number of distinct hydraulic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Schedule / drawings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Design flow rate, per system (m³/h)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Schedule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Static head / vertical rise, per system (m)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Riser diagram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Pipe run length (m)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Drawings / spec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Pipe diameter and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number + 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Spec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Fittings summary (bends, valves, strainers)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structured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Drawings / default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Fluid and 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enum +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Spec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Power supply (voltage /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Spec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Required delivery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Email body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Attachments manifest &amp; per-field 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metadata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Generated</w:t>
            </w:r>
          </w:p>
        </w:tc>
      </w:tr>
    </w:tbl>
    <w:p w:rsidR="00000000" w:rsidDel="00000000" w:rsidP="00000000" w:rsidRDefault="00000000" w:rsidRPr="00000000" w14:paraId="00000217">
      <w:pPr>
        <w:keepNext w:val="0"/>
        <w:keepLines w:val="0"/>
        <w:spacing w:after="140" w:before="300" w:line="360" w:lineRule="auto"/>
        <w:rPr/>
      </w:pPr>
      <w:r w:rsidDel="00000000" w:rsidR="00000000" w:rsidRPr="00000000">
        <w:rPr>
          <w:rtl w:val="0"/>
        </w:rPr>
        <w:t xml:space="preserve">Table G.1. The canonical RFQ schema (simplified). Fields 4–8 repeat per hydraulic system on multi-system inquiries. Field 12 is generated by the extraction layer and is the input to the confidence router of 7.7.</w:t>
      </w:r>
    </w:p>
    <w:p w:rsidR="00000000" w:rsidDel="00000000" w:rsidP="00000000" w:rsidRDefault="00000000" w:rsidRPr="00000000" w14:paraId="00000218">
      <w:pPr>
        <w:pStyle w:val="Heading2"/>
        <w:rPr>
          <w:b w:val="1"/>
          <w:bCs w:val="1"/>
        </w:rPr>
      </w:pPr>
      <w:bookmarkStart w:colFirst="0" w:colLast="0" w:name="_eq3bnz4f5tu1" w:id="74"/>
      <w:bookmarkEnd w:id="74"/>
      <w:r w:rsidDel="00000000" w:rsidR="00000000" w:rsidRPr="00000000">
        <w:rPr>
          <w:b w:val="1"/>
          <w:bCs w:val="1"/>
          <w:rtl w:val="0"/>
        </w:rPr>
        <w:t xml:space="preserve">Appendix J (extract) — Product Data Layer: Technical Specification</w:t>
      </w:r>
    </w:p>
    <w:p w:rsidR="00000000" w:rsidDel="00000000" w:rsidP="00000000" w:rsidRDefault="00000000" w:rsidRPr="00000000" w14:paraId="00000219">
      <w:pPr>
        <w:rPr/>
      </w:pPr>
      <w:r w:rsidDel="00000000" w:rsidR="00000000" w:rsidRPr="00000000">
        <w:rPr>
          <w:b w:val="1"/>
          <w:bCs w:val="1"/>
          <w:rtl w:val="0"/>
        </w:rPr>
        <w:t xml:space="preserve">Classification.</w:t>
      </w:r>
      <w:r w:rsidDel="00000000" w:rsidR="00000000" w:rsidRPr="00000000">
        <w:rPr>
          <w:rtl w:val="0"/>
        </w:rPr>
        <w:t xml:space="preserve"> Manufacturer data is normalized at ingestion into a four-level hierarchy — family, range, model, configuration — with each configuration carrying typed attributes in four groups: hydraulic (performance stored as Q–H, efficiency, power and NPSH point arrays or curve coefficients, never as prose), mechanical (materials, seal type, orientation, connections), electrical (voltage, phase, IE class), and commercial (list price, lead time, supersession chain). Attribute naming follows the ETIM classification standard where the manufacturer supplies it, with a mapping table for house conventions — so that a model designation means exactly one thing to every layer of the system, and remains comparable if further manufacturers are added later.</w:t>
      </w:r>
    </w:p>
    <w:p w:rsidR="00000000" w:rsidDel="00000000" w:rsidP="00000000" w:rsidRDefault="00000000" w:rsidRPr="00000000" w14:paraId="0000021A">
      <w:pPr>
        <w:rPr/>
      </w:pPr>
      <w:r w:rsidDel="00000000" w:rsidR="00000000" w:rsidRPr="00000000">
        <w:rPr>
          <w:b w:val="1"/>
          <w:bCs w:val="1"/>
          <w:rtl w:val="0"/>
        </w:rPr>
        <w:t xml:space="preserve">Storage.</w:t>
      </w:r>
      <w:r w:rsidDel="00000000" w:rsidR="00000000" w:rsidRPr="00000000">
        <w:rPr>
          <w:rtl w:val="0"/>
        </w:rPr>
        <w:t xml:space="preserve"> Two stores, chosen by data type. Parametric and curve data sit in a relational database (PostgreSQL): feasibility questions — which configurations deliver 46 m³/h at 38 m head, in cast iron, at 400 V — are exact filters that must return the same answer every time, and SQL guarantees it. Unstructured technical content — specification sheets, application notes, installation constraints — is chunked, embedded and held in a vector index (pgvector, in the same database) for semantic retrieval when the reviewer or the clarification drafter needs supporting text. Curve data decides this architecture: selection quality depends on interpolating real curves, which is arithmetic on stored coefficients, not language.</w:t>
      </w:r>
    </w:p>
    <w:p w:rsidR="00000000" w:rsidDel="00000000" w:rsidP="00000000" w:rsidRDefault="00000000" w:rsidRPr="00000000" w14:paraId="0000021B">
      <w:pPr>
        <w:keepNext w:val="0"/>
        <w:keepLines w:val="0"/>
        <w:spacing w:after="140" w:before="300" w:line="360" w:lineRule="auto"/>
        <w:rPr/>
      </w:pPr>
      <w:r w:rsidDel="00000000" w:rsidR="00000000" w:rsidRPr="00000000">
        <w:rPr>
          <w:b w:val="1"/>
          <w:bCs w:val="1"/>
          <w:rtl w:val="0"/>
        </w:rPr>
        <w:t xml:space="preserve">Retrieval.</w:t>
      </w:r>
      <w:r w:rsidDel="00000000" w:rsidR="00000000" w:rsidRPr="00000000">
        <w:rPr>
          <w:rtl w:val="0"/>
        </w:rPr>
        <w:t xml:space="preserve"> The model is granted tools — a structured query against the relational store, semantic search over the vector index, and the manufacturer's live selection API of 7.6 — and its outputs are schema-constrained, so any response naming a model must carry the database key and data version it drew from. Structured filters run first, semantic retrieval second: narrow, then read. Every record carries source and effective date, and each quote references the price-list and curve versions it used. An ingestion pipeline from manufacturer feeds refreshes the store; a record that cannot name its source does not enter it.</w:t>
      </w:r>
    </w:p>
    <w:p w:rsidR="00000000" w:rsidDel="00000000" w:rsidP="00000000" w:rsidRDefault="00000000" w:rsidRPr="00000000" w14:paraId="0000021C">
      <w:pPr>
        <w:pStyle w:val="Heading1"/>
        <w:keepNext w:val="0"/>
        <w:keepLines w:val="0"/>
        <w:spacing w:after="140" w:before="300" w:line="360" w:lineRule="auto"/>
        <w:rPr>
          <w:rFonts w:ascii="Times New Roman" w:cs="Times New Roman" w:eastAsia="Times New Roman" w:hAnsi="Times New Roman"/>
          <w:b w:val="1"/>
          <w:bCs w:val="1"/>
          <w:color w:val="1f4e5f"/>
          <w:sz w:val="24"/>
          <w:szCs w:val="24"/>
        </w:rPr>
      </w:pPr>
      <w:bookmarkStart w:colFirst="0" w:colLast="0" w:name="_jx5kbzhdlhlp" w:id="75"/>
      <w:bookmarkEnd w:id="75"/>
      <w:r w:rsidDel="00000000" w:rsidR="00000000" w:rsidRPr="00000000">
        <w:rPr>
          <w:rFonts w:ascii="Times New Roman" w:cs="Times New Roman" w:eastAsia="Times New Roman" w:hAnsi="Times New Roman"/>
          <w:b w:val="1"/>
          <w:bCs w:val="1"/>
          <w:color w:val="1f4e5f"/>
          <w:sz w:val="24"/>
          <w:szCs w:val="24"/>
          <w:rtl w:val="0"/>
        </w:rPr>
        <w:t xml:space="preserve">References</w:t>
      </w:r>
    </w:p>
    <w:p w:rsidR="00000000" w:rsidDel="00000000" w:rsidP="00000000" w:rsidRDefault="00000000" w:rsidRPr="00000000" w14:paraId="0000021D">
      <w:pPr>
        <w:spacing w:after="80" w:line="36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Benjamin, R. and Wigand, R. (1995). Electronic markets and virtual value chains on the information superhighway. Sloan Management Review, 36(2), 62–72.</w:t>
      </w:r>
    </w:p>
    <w:p w:rsidR="00000000" w:rsidDel="00000000" w:rsidP="00000000" w:rsidRDefault="00000000" w:rsidRPr="00000000" w14:paraId="0000021E">
      <w:pPr>
        <w:spacing w:after="80" w:line="36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Chircu, A.M. and Kauffman, R.J. (2000). Reintermediation strategies in business-to-business electronic commerce. International Journal of Electronic Commerce, 4(4), 7–42.</w:t>
      </w:r>
    </w:p>
    <w:p w:rsidR="00000000" w:rsidDel="00000000" w:rsidP="00000000" w:rsidRDefault="00000000" w:rsidRPr="00000000" w14:paraId="0000021F">
      <w:pPr>
        <w:spacing w:after="80" w:line="36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Forza, C. and Salvador, F. (2002). Managing for variety in the order acquisition and fulfilment process: the contribution of product configuration systems. International Journal of Production Economics, 76(1), 87–98.</w:t>
      </w:r>
    </w:p>
    <w:p w:rsidR="00000000" w:rsidDel="00000000" w:rsidP="00000000" w:rsidRDefault="00000000" w:rsidRPr="00000000" w14:paraId="00000220">
      <w:pPr>
        <w:spacing w:after="80" w:line="36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Forza, C. and Salvador, F. (2007). Product Information Management for Mass Customization. Palgrave Macmillan.</w:t>
      </w:r>
    </w:p>
    <w:p w:rsidR="00000000" w:rsidDel="00000000" w:rsidP="00000000" w:rsidRDefault="00000000" w:rsidRPr="00000000" w14:paraId="00000221">
      <w:pPr>
        <w:spacing w:after="80" w:line="36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Goddard, K., Roudsari, A. and Wyatt, J.C. (2012). Automation bias: a systematic review of frequency, effect mediators, and mitigators. Journal of the American Medical Informatics Association, 19(1), 121–127.</w:t>
      </w:r>
    </w:p>
    <w:p w:rsidR="00000000" w:rsidDel="00000000" w:rsidP="00000000" w:rsidRDefault="00000000" w:rsidRPr="00000000" w14:paraId="00000222">
      <w:pPr>
        <w:spacing w:after="80" w:line="36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Hicks, C., McGovern, T. and Earl, C.F. (2000). Supply chain management: a strategic issue in engineer to order manufacturing. International Journal of Production Economics, 65(2), 179–190.</w:t>
      </w:r>
    </w:p>
    <w:p w:rsidR="00000000" w:rsidDel="00000000" w:rsidP="00000000" w:rsidRDefault="00000000" w:rsidRPr="00000000" w14:paraId="00000223">
      <w:pPr>
        <w:spacing w:after="80" w:line="36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Jaume, G., Ekenel, H.K. and Thiran, J.-P. (2019). FUNSD: a dataset for form understanding in noisy scanned documents. ICDAR Workshops.</w:t>
      </w:r>
    </w:p>
    <w:p w:rsidR="00000000" w:rsidDel="00000000" w:rsidP="00000000" w:rsidRDefault="00000000" w:rsidRPr="00000000" w14:paraId="00000224">
      <w:pPr>
        <w:spacing w:after="80" w:line="36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G. et al. (2022). OCR-free document understanding transformer (Donut). European Conference on Computer Vision.</w:t>
      </w:r>
    </w:p>
    <w:p w:rsidR="00000000" w:rsidDel="00000000" w:rsidP="00000000" w:rsidRDefault="00000000" w:rsidRPr="00000000" w14:paraId="00000225">
      <w:pPr>
        <w:spacing w:after="80" w:line="36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Mathew, M., Karatzas, D. and Jawahar, C.V. (2021). DocVQA: a dataset for VQA on document images. IEEE/CVF WACV.</w:t>
      </w:r>
    </w:p>
    <w:p w:rsidR="00000000" w:rsidDel="00000000" w:rsidP="00000000" w:rsidRDefault="00000000" w:rsidRPr="00000000" w14:paraId="00000226">
      <w:pPr>
        <w:spacing w:after="80" w:line="36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Parasuraman, R. and Riley, V. (1997). Humans and automation: use, misuse, disuse, abuse. Human Factors, 39(2), 230–253.</w:t>
      </w:r>
    </w:p>
    <w:p w:rsidR="00000000" w:rsidDel="00000000" w:rsidP="00000000" w:rsidRDefault="00000000" w:rsidRPr="00000000" w14:paraId="00000227">
      <w:pPr>
        <w:spacing w:after="80" w:line="36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Parasuraman, R., Sheridan, T.B. and Wickens, C.D. (2000). A model for types and levels of human interaction with automation. IEEE Transactions on Systems, Man, and Cybernetics — Part A, 30(3), 286–297.</w:t>
      </w:r>
    </w:p>
    <w:p w:rsidR="00000000" w:rsidDel="00000000" w:rsidP="00000000" w:rsidRDefault="00000000" w:rsidRPr="00000000" w14:paraId="00000228">
      <w:pPr>
        <w:spacing w:after="80" w:line="36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Sarkar, M.B., Butler, B. and Steinfield, C. (1995). Intermediaries and cybermediaries: a continuing role for mediating players in the electronic marketplace. Journal of Computer-Mediated Communication, 1(3).</w:t>
      </w:r>
    </w:p>
    <w:p w:rsidR="00000000" w:rsidDel="00000000" w:rsidP="00000000" w:rsidRDefault="00000000" w:rsidRPr="00000000" w14:paraId="00000229">
      <w:pPr>
        <w:spacing w:after="80" w:line="36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Skitka, L.J., Mosier, K.L. and Burdick, M. (1999). Does automation bias decision-making? International Journal of Human-Computer Studies, 51(5), 991–1006.</w:t>
      </w:r>
    </w:p>
    <w:p w:rsidR="00000000" w:rsidDel="00000000" w:rsidP="00000000" w:rsidRDefault="00000000" w:rsidRPr="00000000" w14:paraId="0000022A">
      <w:pPr>
        <w:spacing w:after="80" w:line="36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 Y. et al. (2020). LayoutLM: pre-training of text and layout for document image understanding. ACM SIGKDD.</w:t>
      </w:r>
    </w:p>
    <w:p w:rsidR="00000000" w:rsidDel="00000000" w:rsidP="00000000" w:rsidRDefault="00000000" w:rsidRPr="00000000" w14:paraId="0000022B">
      <w:pPr>
        <w:spacing w:after="80" w:line="36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enterprise-extraction evaluation work on schema-scale degradation — e.g., ExtractBench (arXiv, 2026) — verify preferred citation and add benchmark comparison sources here.]</w:t>
      </w:r>
    </w:p>
    <w:p w:rsidR="00000000" w:rsidDel="00000000" w:rsidP="00000000" w:rsidRDefault="00000000" w:rsidRPr="00000000" w14:paraId="0000022C">
      <w:pP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