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line="240" w:lineRule="auto"/>
        <w:jc w:val="left"/>
      </w:pPr>
      <w:r>
        <w:rPr>
          <w:rFonts w:ascii="Arial" w:hAnsi="Arial" w:eastAsia="Noto Sans SC"/>
          <w:b/>
          <w:i w:val="0"/>
          <w:color w:val="000000"/>
          <w:sz w:val="50"/>
        </w:rPr>
        <w:t>海南博鳌乐城国际医疗旅游先行区</w:t>
      </w:r>
    </w:p>
    <w:p>
      <w:pPr>
        <w:spacing w:before="0" w:after="400" w:line="240" w:lineRule="auto"/>
      </w:pPr>
      <w:r>
        <w:rPr>
          <w:rFonts w:ascii="Arial" w:hAnsi="Arial" w:eastAsia="Noto Sans SC"/>
          <w:b w:val="0"/>
          <w:i/>
          <w:color w:val="0F6B78"/>
          <w:sz w:val="30"/>
        </w:rPr>
        <w:t>Boao Lecheng International Medical Tourism Pilot Zone</w:t>
      </w:r>
    </w:p>
    <w:p>
      <w:pPr>
        <w:spacing w:before="280" w:after="100" w:line="276" w:lineRule="auto"/>
      </w:pPr>
      <w:r>
        <w:rPr>
          <w:rFonts w:ascii="Arial" w:hAnsi="Arial" w:eastAsia="Noto Sans SC"/>
          <w:b/>
          <w:i w:val="0"/>
          <w:color w:val="000000"/>
          <w:sz w:val="28"/>
        </w:rPr>
        <w:t>网站介绍内容稿</w:t>
      </w:r>
    </w:p>
    <w:p>
      <w:pPr>
        <w:spacing w:before="0" w:after="400" w:line="276" w:lineRule="auto"/>
      </w:pPr>
      <w:r>
        <w:rPr>
          <w:rFonts w:ascii="Arial" w:hAnsi="Arial" w:eastAsia="Noto Sans SC"/>
          <w:b w:val="0"/>
          <w:i/>
          <w:color w:val="5B6573"/>
          <w:sz w:val="22"/>
        </w:rPr>
        <w:t>Website Introduction Content Draft</w:t>
      </w:r>
    </w:p>
    <w:p>
      <w:pPr>
        <w:spacing w:before="240" w:after="180" w:line="300" w:lineRule="auto"/>
      </w:pPr>
      <w:r>
        <w:rPr>
          <w:rFonts w:ascii="Arial" w:hAnsi="Arial" w:eastAsia="Noto Sans SC"/>
          <w:b w:val="0"/>
          <w:i w:val="0"/>
          <w:color w:val="000000"/>
          <w:sz w:val="22"/>
        </w:rPr>
        <w:t>面向境内外访客的中英文双语页面文案，涵盖项目定位、园区功能、发展目标、医疗资源、核心优势及与中国内地常规医疗体系的差异。</w:t>
      </w:r>
    </w:p>
    <w:p>
      <w:pPr>
        <w:spacing w:before="0" w:after="80" w:line="300" w:lineRule="auto"/>
      </w:pPr>
      <w:r>
        <w:rPr>
          <w:rFonts w:ascii="Arial" w:hAnsi="Arial" w:eastAsia="Noto Sans SC"/>
          <w:b w:val="0"/>
          <w:i/>
          <w:color w:val="5B6573"/>
          <w:sz w:val="20"/>
        </w:rPr>
        <w:t>A bilingual content package for domestic and international visitors, covering the zone’s positioning, functions, goals, medical resources, differentiators and relationship with conventional mainland care.</w:t>
      </w:r>
    </w:p>
    <w:p>
      <w:pPr>
        <w:spacing w:before="880" w:after="80" w:line="276" w:lineRule="auto"/>
      </w:pPr>
      <w:r>
        <w:rPr>
          <w:rFonts w:ascii="Arial" w:hAnsi="Arial" w:eastAsia="Noto Sans SC"/>
          <w:b/>
          <w:i w:val="0"/>
          <w:color w:val="0F6B78"/>
          <w:sz w:val="19"/>
        </w:rPr>
        <w:t>资料核验日期 / Verification date</w:t>
      </w:r>
    </w:p>
    <w:p>
      <w:pPr>
        <w:spacing w:before="0" w:after="60" w:line="276" w:lineRule="auto"/>
      </w:pPr>
      <w:r>
        <w:rPr>
          <w:rFonts w:ascii="Arial" w:hAnsi="Arial" w:eastAsia="Noto Sans SC"/>
          <w:b/>
          <w:i w:val="0"/>
          <w:color w:val="000000"/>
          <w:sz w:val="21"/>
        </w:rPr>
        <w:t>2026年10月13日  |  13 October 2026</w:t>
      </w:r>
    </w:p>
    <w:p>
      <w:pPr>
        <w:spacing w:before="400" w:after="0" w:line="276" w:lineRule="auto"/>
      </w:pPr>
      <w:r>
        <w:rPr>
          <w:rFonts w:ascii="Arial" w:hAnsi="Arial" w:eastAsia="Noto Sans SC"/>
          <w:b w:val="0"/>
          <w:i w:val="0"/>
          <w:color w:val="5B6573"/>
          <w:sz w:val="18"/>
        </w:rPr>
        <w:t>适用提示：医疗机构名单、药械目录、医生排班、费用、保险和审批条件均可能变化。上线前应由网站运营方逐项复核最新官方信息。</w:t>
      </w:r>
    </w:p>
    <w:p>
      <w:r>
        <w:br w:type="page"/>
      </w:r>
    </w:p>
    <w:p>
      <w:pPr>
        <w:pStyle w:val="Heading1"/>
        <w:keepNext/>
        <w:spacing w:before="220" w:after="100" w:line="252" w:lineRule="auto"/>
      </w:pPr>
      <w:r>
        <w:rPr>
          <w:rFonts w:ascii="Arial" w:hAnsi="Arial" w:eastAsia="Noto Sans SC"/>
          <w:b/>
          <w:i w:val="0"/>
          <w:color w:val="000000"/>
          <w:sz w:val="32"/>
        </w:rPr>
        <w:t>使用说明</w:t>
      </w:r>
      <w:r>
        <w:rPr>
          <w:rFonts w:ascii="Arial" w:hAnsi="Arial" w:eastAsia="Noto Sans SC"/>
          <w:b w:val="0"/>
          <w:i/>
          <w:color w:val="5B6573"/>
          <w:sz w:val="21"/>
        </w:rPr>
        <w:t xml:space="preserve">  How to use this page</w:t>
      </w:r>
    </w:p>
    <w:p>
      <w:pPr>
        <w:pStyle w:val="BodyText"/>
        <w:spacing w:before="0" w:after="40" w:line="283" w:lineRule="auto"/>
      </w:pPr>
      <w:r>
        <w:rPr>
          <w:rFonts w:ascii="Arial" w:hAnsi="Arial" w:eastAsia="Noto Sans SC"/>
          <w:b w:val="0"/>
          <w:i w:val="0"/>
          <w:color w:val="000000"/>
          <w:sz w:val="21"/>
        </w:rPr>
        <w:t>本稿用于医疗咨询网站的园区介绍、项目说明和预约前信息提示。它介绍的是政策环境和服务方向，不是诊断、治疗建议或具体医疗机构的价格与疗效承诺。</w:t>
      </w:r>
    </w:p>
    <w:p>
      <w:pPr>
        <w:spacing w:before="0" w:after="140" w:line="271" w:lineRule="auto"/>
      </w:pPr>
      <w:r>
        <w:rPr>
          <w:rFonts w:ascii="Arial" w:hAnsi="Arial" w:eastAsia="Noto Sans SC"/>
          <w:b w:val="0"/>
          <w:i/>
          <w:color w:val="5B6573"/>
          <w:sz w:val="19"/>
        </w:rPr>
        <w:t>This copy is intended for a medical-consulting website’s zone profile, project overview and pre-appointment information. It describes the policy and service environment; it is not medical advice, a treatment recommendation, or a promise about a provider’s price or outcome.</w:t>
      </w:r>
    </w:p>
    <w:p>
      <w:pPr>
        <w:pStyle w:val="BodyText"/>
        <w:spacing w:before="0" w:after="40" w:line="283" w:lineRule="auto"/>
      </w:pPr>
      <w:r>
        <w:rPr>
          <w:rFonts w:ascii="Arial" w:hAnsi="Arial" w:eastAsia="Noto Sans SC"/>
          <w:b w:val="0"/>
          <w:i w:val="0"/>
          <w:color w:val="000000"/>
          <w:sz w:val="21"/>
        </w:rPr>
        <w:t>文中将“已核验事实”“政策目标”和“面向访客的解释”分开处理。机构数量、特许药械数量、项目排班和支付方式等动态信息，均应以相关机构和主管部门的最新公告为准。</w:t>
      </w:r>
    </w:p>
    <w:p>
      <w:pPr>
        <w:spacing w:before="0" w:after="140" w:line="271" w:lineRule="auto"/>
      </w:pPr>
      <w:r>
        <w:rPr>
          <w:rFonts w:ascii="Arial" w:hAnsi="Arial" w:eastAsia="Noto Sans SC"/>
          <w:b w:val="0"/>
          <w:i/>
          <w:color w:val="5B6573"/>
          <w:sz w:val="19"/>
        </w:rPr>
        <w:t>The copy distinguishes verified facts, policy goals and visitor-facing explanations. Dynamic information—including provider counts, designated-product lists, schedules and payment arrangements—must be checked against the latest notices from the relevant institutions and authorities.</w:t>
      </w:r>
    </w:p>
    <w:p>
      <w:pPr>
        <w:pStyle w:val="Heading2"/>
        <w:keepNext/>
        <w:spacing w:before="140" w:after="100" w:line="252" w:lineRule="auto"/>
      </w:pPr>
      <w:r>
        <w:rPr>
          <w:rFonts w:ascii="Arial" w:hAnsi="Arial" w:eastAsia="Noto Sans SC"/>
          <w:b/>
          <w:i w:val="0"/>
          <w:color w:val="000000"/>
          <w:sz w:val="25"/>
        </w:rPr>
        <w:t>页面核心结论</w:t>
      </w:r>
      <w:r>
        <w:rPr>
          <w:rFonts w:ascii="Arial" w:hAnsi="Arial" w:eastAsia="Noto Sans SC"/>
          <w:b w:val="0"/>
          <w:i/>
          <w:color w:val="5B6573"/>
          <w:sz w:val="19"/>
        </w:rPr>
        <w:t xml:space="preserve">  Key message</w:t>
      </w:r>
    </w:p>
    <w:p>
      <w:pPr>
        <w:pStyle w:val="BodyText"/>
        <w:spacing w:before="0" w:after="40" w:line="283" w:lineRule="auto"/>
      </w:pPr>
      <w:r>
        <w:rPr>
          <w:rFonts w:ascii="Arial" w:hAnsi="Arial" w:eastAsia="Noto Sans SC"/>
          <w:b w:val="0"/>
          <w:i w:val="0"/>
          <w:color w:val="000000"/>
          <w:sz w:val="21"/>
        </w:rPr>
        <w:t>乐城的差异化价值，在于为符合条件的临床急需进口药品和医疗器械提供受监管的先行使用场景，并把国际医疗合作、真实世界研究、专科诊疗和健康管理放在同一个园区生态中。它是内地常规医疗体系的补充，不是大型综合医院急诊、复杂多学科救治和长期连续照护的全面替代。</w:t>
      </w:r>
    </w:p>
    <w:p>
      <w:pPr>
        <w:spacing w:before="0" w:after="140" w:line="271" w:lineRule="auto"/>
      </w:pPr>
      <w:r>
        <w:rPr>
          <w:rFonts w:ascii="Arial" w:hAnsi="Arial" w:eastAsia="Noto Sans SC"/>
          <w:b w:val="0"/>
          <w:i/>
          <w:color w:val="5B6573"/>
          <w:sz w:val="19"/>
        </w:rPr>
        <w:t>Lecheng’s distinctive value is a regulated early-access setting for selected clinically urgent imported medicines and medical devices, combined with international collaboration, real-world research, specialist care and health management in one zone. It complements mainland China’s conventional system; it does not replace the emergency, complex multidisciplinary and long-term continuity functions of major general hospitals.</w:t>
      </w:r>
    </w:p>
    <w:p>
      <w:pPr>
        <w:pStyle w:val="Heading1"/>
        <w:keepNext/>
        <w:spacing w:before="220" w:after="100" w:line="252" w:lineRule="auto"/>
      </w:pPr>
      <w:r>
        <w:rPr>
          <w:rFonts w:ascii="Arial" w:hAnsi="Arial" w:eastAsia="Noto Sans SC"/>
          <w:b/>
          <w:i w:val="0"/>
          <w:color w:val="000000"/>
          <w:sz w:val="32"/>
        </w:rPr>
        <w:t>项目介绍</w:t>
      </w:r>
      <w:r>
        <w:rPr>
          <w:rFonts w:ascii="Arial" w:hAnsi="Arial" w:eastAsia="Noto Sans SC"/>
          <w:b w:val="0"/>
          <w:i/>
          <w:color w:val="5B6573"/>
          <w:sz w:val="21"/>
        </w:rPr>
        <w:t xml:space="preserve">  Project overview</w:t>
      </w:r>
    </w:p>
    <w:p>
      <w:pPr>
        <w:pStyle w:val="BodyText"/>
        <w:spacing w:before="0" w:after="40" w:line="283" w:lineRule="auto"/>
      </w:pPr>
      <w:r>
        <w:rPr>
          <w:rFonts w:ascii="Arial" w:hAnsi="Arial" w:eastAsia="Noto Sans SC"/>
          <w:b w:val="0"/>
          <w:i w:val="0"/>
          <w:color w:val="000000"/>
          <w:sz w:val="21"/>
        </w:rPr>
        <w:t>海南博鳌乐城国际医疗旅游先行区位于海南省琼海市万泉河畔，是经国务院批准设立的国家级医疗健康开放创新平台。园区以国际医疗旅游为重要应用场景，围绕医疗服务、创新药械、真实世界数据研究、国际合作和康复健康管理等方向发展。</w:t>
      </w:r>
    </w:p>
    <w:p>
      <w:pPr>
        <w:spacing w:before="0" w:after="140" w:line="271" w:lineRule="auto"/>
      </w:pPr>
      <w:r>
        <w:rPr>
          <w:rFonts w:ascii="Arial" w:hAnsi="Arial" w:eastAsia="Noto Sans SC"/>
          <w:b w:val="0"/>
          <w:i/>
          <w:color w:val="5B6573"/>
          <w:sz w:val="19"/>
        </w:rPr>
        <w:t>Located on the Wanquan River in Qionghai, Hainan, Boao Lecheng International Medical Tourism Pilot Zone is a national platform approved by the State Council for regulated healthcare opening-up and innovation. It uses international medical tourism as an important application setting and develops around medical services, innovative medicines and devices, real-world data research, international collaboration, rehabilitation and health management.</w:t>
      </w:r>
    </w:p>
    <w:p>
      <w:pPr>
        <w:pStyle w:val="BodyText"/>
        <w:spacing w:before="0" w:after="40" w:line="283" w:lineRule="auto"/>
      </w:pPr>
      <w:r>
        <w:rPr>
          <w:rFonts w:ascii="Arial" w:hAnsi="Arial" w:eastAsia="Noto Sans SC"/>
          <w:b w:val="0"/>
          <w:i w:val="0"/>
          <w:color w:val="000000"/>
          <w:sz w:val="21"/>
        </w:rPr>
        <w:t>2013年国务院批复设立先行区时，明确支持其在临床急需进口药械、境外医师执业、国际资本办医和前沿医疗研究等方面开展制度探索。相关活动必须遵守中国法律法规，并履行相应的审批、备案、伦理和安全监管程序。</w:t>
      </w:r>
    </w:p>
    <w:p>
      <w:pPr>
        <w:spacing w:before="0" w:after="140" w:line="271" w:lineRule="auto"/>
      </w:pPr>
      <w:r>
        <w:rPr>
          <w:rFonts w:ascii="Arial" w:hAnsi="Arial" w:eastAsia="Noto Sans SC"/>
          <w:b w:val="0"/>
          <w:i/>
          <w:color w:val="5B6573"/>
          <w:sz w:val="19"/>
        </w:rPr>
        <w:t>When the State Council approved the zone in 2013, it supported policy exploration in clinically urgent imported medicines and devices, overseas physician practice, international investment in healthcare institutions and frontier medical research. All activities remain subject to Chinese laws, approval or filing procedures, ethics requirements and safety oversight.</w:t>
      </w:r>
    </w:p>
    <w:p>
      <w:pPr>
        <w:pStyle w:val="Heading2"/>
        <w:keepNext/>
        <w:spacing w:before="140" w:after="100" w:line="252" w:lineRule="auto"/>
      </w:pPr>
      <w:r>
        <w:rPr>
          <w:rFonts w:ascii="Arial" w:hAnsi="Arial" w:eastAsia="Noto Sans SC"/>
          <w:b/>
          <w:i w:val="0"/>
          <w:color w:val="000000"/>
          <w:sz w:val="25"/>
        </w:rPr>
        <w:t>一句话介绍</w:t>
      </w:r>
      <w:r>
        <w:rPr>
          <w:rFonts w:ascii="Arial" w:hAnsi="Arial" w:eastAsia="Noto Sans SC"/>
          <w:b w:val="0"/>
          <w:i/>
          <w:color w:val="5B6573"/>
          <w:sz w:val="19"/>
        </w:rPr>
        <w:t xml:space="preserve">  One-sentence description</w:t>
      </w:r>
    </w:p>
    <w:p>
      <w:pPr>
        <w:pStyle w:val="BodyText"/>
        <w:spacing w:before="0" w:after="40" w:line="283" w:lineRule="auto"/>
      </w:pPr>
      <w:r>
        <w:rPr>
          <w:rFonts w:ascii="Arial" w:hAnsi="Arial" w:eastAsia="Noto Sans SC"/>
          <w:b w:val="0"/>
          <w:i w:val="0"/>
          <w:color w:val="000000"/>
          <w:sz w:val="21"/>
        </w:rPr>
        <w:t>乐城是一个把“国际创新药械的合规可及”“专科医疗服务”“真实世界研究”和“医疗旅行协调”连接起来的国家级先行区。</w:t>
      </w:r>
    </w:p>
    <w:p>
      <w:pPr>
        <w:spacing w:before="0" w:after="140" w:line="271" w:lineRule="auto"/>
      </w:pPr>
      <w:r>
        <w:rPr>
          <w:rFonts w:ascii="Arial" w:hAnsi="Arial" w:eastAsia="Noto Sans SC"/>
          <w:b w:val="0"/>
          <w:i/>
          <w:color w:val="5B6573"/>
          <w:sz w:val="19"/>
        </w:rPr>
        <w:t>Lecheng is a national pilot zone that connects regulated access to selected international innovations with specialist care, real-world research and medical-travel coordination.</w:t>
      </w:r>
    </w:p>
    <w:p>
      <w:pPr>
        <w:pStyle w:val="Heading1"/>
        <w:keepNext/>
        <w:spacing w:before="220" w:after="100" w:line="252" w:lineRule="auto"/>
      </w:pPr>
      <w:r>
        <w:rPr>
          <w:rFonts w:ascii="Arial" w:hAnsi="Arial" w:eastAsia="Noto Sans SC"/>
          <w:b/>
          <w:i w:val="0"/>
          <w:color w:val="000000"/>
          <w:sz w:val="32"/>
        </w:rPr>
        <w:t>园区介绍</w:t>
      </w:r>
      <w:r>
        <w:rPr>
          <w:rFonts w:ascii="Arial" w:hAnsi="Arial" w:eastAsia="Noto Sans SC"/>
          <w:b w:val="0"/>
          <w:i/>
          <w:color w:val="5B6573"/>
          <w:sz w:val="21"/>
        </w:rPr>
        <w:t xml:space="preserve">  Zone profile</w:t>
      </w:r>
    </w:p>
    <w:p>
      <w:pPr>
        <w:pStyle w:val="BodyText"/>
        <w:spacing w:before="0" w:after="40" w:line="283" w:lineRule="auto"/>
      </w:pPr>
      <w:r>
        <w:rPr>
          <w:rFonts w:ascii="Arial" w:hAnsi="Arial" w:eastAsia="Noto Sans SC"/>
          <w:b w:val="0"/>
          <w:i w:val="0"/>
          <w:color w:val="000000"/>
          <w:sz w:val="21"/>
        </w:rPr>
        <w:t>先行区规划范围约20.14平方公里，位于琼海市嘉积城区与博鳌亚洲论坛核心区之间、万泉河两岸。园区依托海南生态和自贸港开放环境，逐步形成公立医院、民营医疗机构和国际品牌共同参与的医疗服务网络。</w:t>
      </w:r>
    </w:p>
    <w:p>
      <w:pPr>
        <w:spacing w:before="0" w:after="140" w:line="271" w:lineRule="auto"/>
      </w:pPr>
      <w:r>
        <w:rPr>
          <w:rFonts w:ascii="Arial" w:hAnsi="Arial" w:eastAsia="Noto Sans SC"/>
          <w:b w:val="0"/>
          <w:i/>
          <w:color w:val="5B6573"/>
          <w:sz w:val="19"/>
        </w:rPr>
        <w:t>The pilot zone covers a planned area of approximately 20.14 square kilometres between Qionghai’s Jiaji urban area and the Boao Forum for Asia core area, on both sides of the Wanquan River. Building on Hainan’s ecological setting and Free Trade Port environment, it has developed a provider network involving public hospitals, private institutions and international brands.</w:t>
      </w:r>
    </w:p>
    <w:p>
      <w:pPr>
        <w:pStyle w:val="Heading2"/>
        <w:keepNext/>
        <w:spacing w:before="140" w:after="100" w:line="252" w:lineRule="auto"/>
      </w:pPr>
      <w:r>
        <w:rPr>
          <w:rFonts w:ascii="Arial" w:hAnsi="Arial" w:eastAsia="Noto Sans SC"/>
          <w:b/>
          <w:i w:val="0"/>
          <w:color w:val="000000"/>
          <w:sz w:val="25"/>
        </w:rPr>
        <w:t>园区功能结构</w:t>
      </w:r>
      <w:r>
        <w:rPr>
          <w:rFonts w:ascii="Arial" w:hAnsi="Arial" w:eastAsia="Noto Sans SC"/>
          <w:b w:val="0"/>
          <w:i/>
          <w:color w:val="5B6573"/>
          <w:sz w:val="19"/>
        </w:rPr>
        <w:t xml:space="preserve">  Functional structure</w:t>
      </w:r>
    </w:p>
    <w:tbl>
      <w:tblPr>
        <w:tblW w:type="dxa" w:w="9504"/>
        <w:jc w:val="center"/>
        <w:tblLayout w:type="fixed"/>
        <w:tblLook w:firstColumn="1" w:firstRow="1" w:lastColumn="0" w:lastRow="0" w:noHBand="0" w:noVBand="1" w:val="04A0"/>
      </w:tblPr>
      <w:tblGrid>
        <w:gridCol w:w="1728"/>
        <w:gridCol w:w="3960"/>
        <w:gridCol w:w="3816"/>
      </w:tblGrid>
      <w:tr>
        <w:trPr>
          <w:tblHeader w:val="true"/>
          <w:cantSplit/>
        </w:trPr>
        <w:tc>
          <w:tcPr>
            <w:tcW w:type="dxa" w:w="17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功能 / Function</w:t>
            </w:r>
          </w:p>
        </w:tc>
        <w:tc>
          <w:tcPr>
            <w:tcW w:type="dxa" w:w="39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中文说明</w:t>
            </w:r>
          </w:p>
        </w:tc>
        <w:tc>
          <w:tcPr>
            <w:tcW w:type="dxa" w:w="38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English description</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医疗服务 / Medical care</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专科评估、诊疗、必要时转诊，以及康复和健康管理；具体能力由各入驻机构依法提供。</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Specialist assessment, treatment, referral where necessary, rehabilitation and health management; actual capabilities depend on each licensed provider.</w:t>
            </w:r>
          </w:p>
        </w:tc>
      </w:tr>
      <w:tr>
        <w:trPr>
          <w:cantSplit/>
        </w:trPr>
        <w:tc>
          <w:tcPr>
            <w:tcW w:type="dxa" w:w="172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创新药械 / Innovative products</w:t>
            </w:r>
          </w:p>
        </w:tc>
        <w:tc>
          <w:tcPr>
            <w:tcW w:type="dxa" w:w="396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对符合条件的临床急需进口药品和医疗器械，提供申报、评估和指定机构内使用的政策场景。</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A regulated pathway for selected clinically urgent imported medicines and devices to be assessed and used by designated institutions.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研究转化 / Research and translation</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在伦理和监管要求下开展真实世界数据研究，为药械注册审评和监管决策提供补充证据。</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Real-world data studies conducted under ethics and regulatory requirements may provide supplementary evidence for registration review and regulatory decisions.</w:t>
            </w:r>
          </w:p>
        </w:tc>
      </w:tr>
      <w:tr>
        <w:trPr>
          <w:cantSplit/>
        </w:trPr>
        <w:tc>
          <w:tcPr>
            <w:tcW w:type="dxa" w:w="172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国际协作 / International collaboration</w:t>
            </w:r>
          </w:p>
        </w:tc>
        <w:tc>
          <w:tcPr>
            <w:tcW w:type="dxa" w:w="396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支持符合条件的境外医生、医疗机构和专业团队依法开展合作、交流或服务。</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Qualified overseas physicians, institutions and professional teams may collaborate or exchange expertise in accordance with applicable rules.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旅行协调 / Medical-travel coordination</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可围绕预约、翻译、陪同、住宿、复诊和转诊进行协调，但不替代医生作出临床决定。</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Coordination may cover appointments, interpretation, accompaniment, accommodation, follow-up and referral, but does not replace clinical decisions by physicians.</w:t>
            </w:r>
          </w:p>
        </w:tc>
      </w:tr>
    </w:tbl>
    <w:p>
      <w:pPr>
        <w:spacing w:before="100" w:after="140" w:line="252" w:lineRule="auto"/>
      </w:pPr>
      <w:r>
        <w:rPr>
          <w:rFonts w:ascii="Arial" w:hAnsi="Arial" w:eastAsia="Noto Sans SC"/>
          <w:b/>
          <w:i w:val="0"/>
          <w:color w:val="0F6B78"/>
          <w:sz w:val="17"/>
        </w:rPr>
        <w:t xml:space="preserve">动态数据提示 / Snapshot note: </w:t>
      </w:r>
      <w:r>
        <w:rPr>
          <w:rFonts w:ascii="Arial" w:hAnsi="Arial" w:eastAsia="Noto Sans SC"/>
          <w:b w:val="0"/>
          <w:i w:val="0"/>
          <w:color w:val="5B6573"/>
          <w:sz w:val="17"/>
        </w:rPr>
        <w:t>海南省政府2025年4月20日报道称，园区当时已有36家医疗机构开业运营、引进特许药械超过470种，并形成公立、民营、国际机构共同参与的格局。该数据属于报道时点的阶段性统计，不构成当前数量或质量排名。</w:t>
      </w:r>
    </w:p>
    <w:p>
      <w:pPr>
        <w:spacing w:before="0" w:after="200" w:line="252" w:lineRule="auto"/>
      </w:pPr>
      <w:r>
        <w:rPr>
          <w:rFonts w:ascii="Arial" w:hAnsi="Arial" w:eastAsia="Noto Sans SC"/>
          <w:b w:val="0"/>
          <w:i/>
          <w:color w:val="5B6573"/>
          <w:sz w:val="17"/>
        </w:rPr>
        <w:t>A Hainan Government report dated 20 April 2025 stated that 36 medical institutions were operating and more than 470 designated medicines and devices had been introduced at that time. These are time-specific figures, not a current count or quality ranking.</w:t>
      </w:r>
    </w:p>
    <w:p>
      <w:pPr>
        <w:pStyle w:val="Heading1"/>
        <w:keepNext/>
        <w:spacing w:before="220" w:after="100" w:line="252" w:lineRule="auto"/>
      </w:pPr>
      <w:r>
        <w:rPr>
          <w:rFonts w:ascii="Arial" w:hAnsi="Arial" w:eastAsia="Noto Sans SC"/>
          <w:b/>
          <w:i w:val="0"/>
          <w:color w:val="000000"/>
          <w:sz w:val="32"/>
        </w:rPr>
        <w:t>项目目标</w:t>
      </w:r>
      <w:r>
        <w:rPr>
          <w:rFonts w:ascii="Arial" w:hAnsi="Arial" w:eastAsia="Noto Sans SC"/>
          <w:b w:val="0"/>
          <w:i/>
          <w:color w:val="5B6573"/>
          <w:sz w:val="21"/>
        </w:rPr>
        <w:t xml:space="preserve">  Project goals</w:t>
      </w:r>
    </w:p>
    <w:p>
      <w:pPr>
        <w:pStyle w:val="BodyText"/>
        <w:spacing w:before="0" w:after="40" w:line="283" w:lineRule="auto"/>
      </w:pPr>
      <w:r>
        <w:rPr>
          <w:rFonts w:ascii="Arial" w:hAnsi="Arial" w:eastAsia="Noto Sans SC"/>
          <w:b w:val="0"/>
          <w:i w:val="0"/>
          <w:color w:val="000000"/>
          <w:sz w:val="21"/>
        </w:rPr>
        <w:t>国家层面的实施方案提出，到2025年，特色技术先进临床医学中心和尖端医学技术研发转化基地取得突破，推动医疗技术、装备、药品与国际先进水平实现“三同步”；到2030年，医疗服务和科研达到国内领先、国际先进水平，形成具有品牌影响力的国际医疗旅游目的地和医疗科技创新平台。</w:t>
      </w:r>
    </w:p>
    <w:p>
      <w:pPr>
        <w:spacing w:before="0" w:after="140" w:line="271" w:lineRule="auto"/>
      </w:pPr>
      <w:r>
        <w:rPr>
          <w:rFonts w:ascii="Arial" w:hAnsi="Arial" w:eastAsia="Noto Sans SC"/>
          <w:b w:val="0"/>
          <w:i/>
          <w:color w:val="5B6573"/>
          <w:sz w:val="19"/>
        </w:rPr>
        <w:t>The national implementation plan set a 2025 goal of breakthroughs in advanced clinical centres and frontier medical technology translation, with medical technologies, equipment and medicines moving closer to international standards in parallel. By 2030, it envisioned nationally leading and internationally advanced medical services and research, together with a branded international medical-tourism destination and healthcare innovation platform.</w:t>
      </w:r>
    </w:p>
    <w:p>
      <w:pPr>
        <w:pStyle w:val="BodyText"/>
        <w:spacing w:before="0" w:after="40" w:line="283" w:lineRule="auto"/>
      </w:pPr>
      <w:r>
        <w:rPr>
          <w:rFonts w:ascii="Arial" w:hAnsi="Arial" w:eastAsia="Noto Sans SC"/>
          <w:b w:val="0"/>
          <w:i w:val="0"/>
          <w:color w:val="000000"/>
          <w:sz w:val="21"/>
        </w:rPr>
        <w:t>这些是政策目标和建设方向，不应改写成园区已经全面实现的结果。网站介绍可以把它们呈现为乐城持续建设的长期路线。</w:t>
      </w:r>
    </w:p>
    <w:p>
      <w:pPr>
        <w:spacing w:before="0" w:after="140" w:line="271" w:lineRule="auto"/>
      </w:pPr>
      <w:r>
        <w:rPr>
          <w:rFonts w:ascii="Arial" w:hAnsi="Arial" w:eastAsia="Noto Sans SC"/>
          <w:b w:val="0"/>
          <w:i/>
          <w:color w:val="5B6573"/>
          <w:sz w:val="19"/>
        </w:rPr>
        <w:t>These are policy goals and development directions, not a statement that every target has already been achieved. A website may present them as Lecheng’s continuing development roadmap.</w:t>
      </w:r>
    </w:p>
    <w:tbl>
      <w:tblPr>
        <w:tblW w:type="dxa" w:w="9504"/>
        <w:jc w:val="center"/>
        <w:tblLayout w:type="fixed"/>
        <w:tblLook w:firstColumn="1" w:firstRow="1" w:lastColumn="0" w:lastRow="0" w:noHBand="0" w:noVBand="1" w:val="04A0"/>
      </w:tblPr>
      <w:tblGrid>
        <w:gridCol w:w="1728"/>
        <w:gridCol w:w="3960"/>
        <w:gridCol w:w="3816"/>
      </w:tblGrid>
      <w:tr>
        <w:trPr>
          <w:tblHeader w:val="true"/>
          <w:cantSplit/>
        </w:trPr>
        <w:tc>
          <w:tcPr>
            <w:tcW w:type="dxa" w:w="17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目标维度 / Goal</w:t>
            </w:r>
          </w:p>
        </w:tc>
        <w:tc>
          <w:tcPr>
            <w:tcW w:type="dxa" w:w="39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中文网站表述</w:t>
            </w:r>
          </w:p>
        </w:tc>
        <w:tc>
          <w:tcPr>
            <w:tcW w:type="dxa" w:w="38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English website wording</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医疗服务 / Care</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建设特色临床医学中心，提升专科诊疗和国际患者服务能力。</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Develop advanced clinical centres and strengthen specialist and international-patient services.</w:t>
            </w:r>
          </w:p>
        </w:tc>
      </w:tr>
      <w:tr>
        <w:trPr>
          <w:cantSplit/>
        </w:trPr>
        <w:tc>
          <w:tcPr>
            <w:tcW w:type="dxa" w:w="172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创新转化 / Translation</w:t>
            </w:r>
          </w:p>
        </w:tc>
        <w:tc>
          <w:tcPr>
            <w:tcW w:type="dxa" w:w="396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推动前沿技术、药品和器械从研究、使用到评价和转化。</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Connect frontier technologies, medicines and devices with evaluation and translation.</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监管科学 / Regulatory science</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探索真实世界数据等证据在注册审评和监管决策中的规范应用。</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Explore structured use of real-world evidence in registration review and regulatory decisions.</w:t>
            </w:r>
          </w:p>
        </w:tc>
      </w:tr>
      <w:tr>
        <w:trPr>
          <w:cantSplit/>
        </w:trPr>
        <w:tc>
          <w:tcPr>
            <w:tcW w:type="dxa" w:w="172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产业生态 / Ecosystem</w:t>
            </w:r>
          </w:p>
        </w:tc>
        <w:tc>
          <w:tcPr>
            <w:tcW w:type="dxa" w:w="396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形成医疗、科研、康养、国际交流和相关服务协同发展的产业集聚。</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Build an ecosystem linking care, research, wellness, international exchange and supporting services.</w:t>
            </w:r>
          </w:p>
        </w:tc>
      </w:tr>
    </w:tbl>
    <w:p>
      <w:pPr>
        <w:pStyle w:val="Heading1"/>
        <w:keepNext/>
        <w:spacing w:before="220" w:after="100" w:line="252" w:lineRule="auto"/>
      </w:pPr>
      <w:r>
        <w:rPr>
          <w:rFonts w:ascii="Arial" w:hAnsi="Arial" w:eastAsia="Noto Sans SC"/>
          <w:b/>
          <w:i w:val="0"/>
          <w:color w:val="000000"/>
          <w:sz w:val="32"/>
        </w:rPr>
        <w:t>医疗资源与服务方向</w:t>
      </w:r>
      <w:r>
        <w:rPr>
          <w:rFonts w:ascii="Arial" w:hAnsi="Arial" w:eastAsia="Noto Sans SC"/>
          <w:b w:val="0"/>
          <w:i/>
          <w:color w:val="5B6573"/>
          <w:sz w:val="21"/>
        </w:rPr>
        <w:t xml:space="preserve">  Medical resources and service modules</w:t>
      </w:r>
    </w:p>
    <w:p>
      <w:pPr>
        <w:pStyle w:val="BodyText"/>
        <w:spacing w:before="0" w:after="40" w:line="283" w:lineRule="auto"/>
      </w:pPr>
      <w:r>
        <w:rPr>
          <w:rFonts w:ascii="Arial" w:hAnsi="Arial" w:eastAsia="Noto Sans SC"/>
          <w:b w:val="0"/>
          <w:i w:val="0"/>
          <w:color w:val="000000"/>
          <w:sz w:val="21"/>
        </w:rPr>
        <w:t>乐城的资源优势不是某一个单独科室或单一医院，而是一个由公立、民营和国际机构共同参与的园区式医疗生态。网站可按“服务方向”向访客介绍，再在预约环节核对具体机构、医生、设备、药械目录和接诊资格。</w:t>
      </w:r>
    </w:p>
    <w:p>
      <w:pPr>
        <w:spacing w:before="0" w:after="140" w:line="271" w:lineRule="auto"/>
      </w:pPr>
      <w:r>
        <w:rPr>
          <w:rFonts w:ascii="Arial" w:hAnsi="Arial" w:eastAsia="Noto Sans SC"/>
          <w:b w:val="0"/>
          <w:i/>
          <w:color w:val="5B6573"/>
          <w:sz w:val="19"/>
        </w:rPr>
        <w:t>Lecheng’s resource advantage is not one department or one hospital, but a zone-based ecosystem involving public, private and international providers. A website can introduce the main service directions first, then verify the specific provider, physician, equipment, product list and eligibility during appointment coordination.</w:t>
      </w:r>
    </w:p>
    <w:tbl>
      <w:tblPr>
        <w:tblW w:type="dxa" w:w="9504"/>
        <w:jc w:val="center"/>
        <w:tblLayout w:type="fixed"/>
        <w:tblLook w:firstColumn="1" w:firstRow="1" w:lastColumn="0" w:lastRow="0" w:noHBand="0" w:noVBand="1" w:val="04A0"/>
      </w:tblPr>
      <w:tblGrid>
        <w:gridCol w:w="2088"/>
        <w:gridCol w:w="3816"/>
        <w:gridCol w:w="3600"/>
      </w:tblGrid>
      <w:tr>
        <w:trPr>
          <w:tblHeader w:val="true"/>
          <w:cantSplit/>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服务方向 / Direction</w:t>
            </w:r>
          </w:p>
        </w:tc>
        <w:tc>
          <w:tcPr>
            <w:tcW w:type="dxa" w:w="38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中文介绍</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English description</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国际专科诊疗与转诊 / Specialist care and referral</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围绕肿瘤、心脑血管、眼科、罕见病、骨科、康复等方向提供评估、治疗或转诊；以机构执业范围和医生排班为准。</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Assessment, treatment or referral in areas such as oncology, cardiovascular and cerebrovascular care, ophthalmology, rare diseases, orthopaedics and rehabilitation; subject to the provider’s licence and schedule.</w:t>
            </w:r>
          </w:p>
        </w:tc>
      </w:tr>
      <w:tr>
        <w:trPr>
          <w:cantSplit/>
        </w:trPr>
        <w:tc>
          <w:tcPr>
            <w:tcW w:type="dxa" w:w="208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临床急需进口药械咨询 / Urgently needed imported products</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先由医生评估病情和适应证，再由符合条件的机构依规申报和使用；患者不应自行购买或携带使用。</w:t>
            </w:r>
          </w:p>
        </w:tc>
        <w:tc>
          <w:tcPr>
            <w:tcW w:type="dxa" w:w="360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A physician first assesses the condition and indication; an eligible institution then applies and uses the product under the applicable pathway. Patients should not self-purchase or self-administer.</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真实世界研究 / Real-world research</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在伦理、知情同意和监管框架下采集临床数据，为注册和监管评价提供补充证据。</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Clinical data may be collected under ethics, informed-consent and regulatory requirements to provide supplementary evidence for registration and oversight.</w:t>
            </w:r>
          </w:p>
        </w:tc>
      </w:tr>
      <w:tr>
        <w:trPr>
          <w:cantSplit/>
        </w:trPr>
        <w:tc>
          <w:tcPr>
            <w:tcW w:type="dxa" w:w="2088"/>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高端体检与健康管理 / Advanced screening and health management</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提供体检、慢病管理、中医养生保健和特色康养等服务方向；不能承诺筛查排除所有疾病或替代治疗。</w:t>
            </w:r>
          </w:p>
        </w:tc>
        <w:tc>
          <w:tcPr>
            <w:tcW w:type="dxa" w:w="360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Service directions may include screening, chronic-disease management, traditional Chinese medicine wellness and rehabilitation; screening cannot exclude every disease or replace treatment.</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国际医疗旅行服务 / Medical-tourism services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围绕预约、翻译、陪同、住宿、复诊和转诊进行协调；中介不替代医生诊断和治疗决策。</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Coordination may include appointments, interpretation, accompaniment, accommodation, follow-up and referral; coordinators do not replace physicians’ diagnosis or treatment decisions.</w:t>
            </w:r>
          </w:p>
        </w:tc>
      </w:tr>
    </w:tbl>
    <w:p>
      <w:pPr>
        <w:pStyle w:val="Heading1"/>
        <w:keepNext/>
        <w:spacing w:before="220" w:after="100" w:line="252" w:lineRule="auto"/>
      </w:pPr>
      <w:r>
        <w:rPr>
          <w:rFonts w:ascii="Arial" w:hAnsi="Arial" w:eastAsia="Noto Sans SC"/>
          <w:b/>
          <w:i w:val="0"/>
          <w:color w:val="000000"/>
          <w:sz w:val="32"/>
        </w:rPr>
        <w:t>核心优势</w:t>
      </w:r>
      <w:r>
        <w:rPr>
          <w:rFonts w:ascii="Arial" w:hAnsi="Arial" w:eastAsia="Noto Sans SC"/>
          <w:b w:val="0"/>
          <w:i/>
          <w:color w:val="5B6573"/>
          <w:sz w:val="21"/>
        </w:rPr>
        <w:t xml:space="preserve">  Core advantages</w:t>
      </w:r>
    </w:p>
    <w:tbl>
      <w:tblPr>
        <w:tblW w:type="dxa" w:w="9504"/>
        <w:jc w:val="center"/>
        <w:tblLayout w:type="fixed"/>
        <w:tblLook w:firstColumn="1" w:firstRow="1" w:lastColumn="0" w:lastRow="0" w:noHBand="0" w:noVBand="1" w:val="04A0"/>
      </w:tblPr>
      <w:tblGrid>
        <w:gridCol w:w="2015"/>
        <w:gridCol w:w="3816"/>
        <w:gridCol w:w="3671"/>
      </w:tblGrid>
      <w:tr>
        <w:trPr>
          <w:tblHeader w:val="true"/>
          <w:cantSplit/>
        </w:trPr>
        <w:tc>
          <w:tcPr>
            <w:tcW w:type="dxa" w:w="201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优势 / Advantage</w:t>
            </w:r>
          </w:p>
        </w:tc>
        <w:tc>
          <w:tcPr>
            <w:tcW w:type="dxa" w:w="38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中文网站表述</w:t>
            </w:r>
          </w:p>
        </w:tc>
        <w:tc>
          <w:tcPr>
            <w:tcW w:type="dxa" w:w="367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English website wording</w:t>
            </w:r>
          </w:p>
        </w:tc>
      </w:tr>
      <w:tr>
        <w:trPr>
          <w:cantSplit/>
        </w:trPr>
        <w:tc>
          <w:tcPr>
            <w:tcW w:type="dxa" w:w="20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特许药械准入路径 / Regulated access pathway</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为部分境外已上市、境内尚未上市且临床急需的药品和器械提供受监管的先行使用场景。</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A regulated early-access setting for selected clinically urgent products marketed overseas but not yet approved in mainland China.</w:t>
            </w:r>
          </w:p>
        </w:tc>
      </w:tr>
      <w:tr>
        <w:trPr>
          <w:cantSplit/>
        </w:trPr>
        <w:tc>
          <w:tcPr>
            <w:tcW w:type="dxa" w:w="2015"/>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真实世界数据试点 / Real-world data pilot</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合规临床数据可作为注册审评和监管决策的补充证据；不等于免注册或自动获批。</w:t>
            </w:r>
          </w:p>
        </w:tc>
        <w:tc>
          <w:tcPr>
            <w:tcW w:type="dxa" w:w="3671"/>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Compliant clinical data may supplement registration review and regulatory decisions; this is not an exemption from registration or a guarantee of approval.</w:t>
            </w:r>
          </w:p>
        </w:tc>
      </w:tr>
      <w:tr>
        <w:trPr>
          <w:cantSplit/>
        </w:trPr>
        <w:tc>
          <w:tcPr>
            <w:tcW w:type="dxa" w:w="20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多元机构网络 / Mixed provider network</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公立、民营和国际机构在园区内形成协同网络，便于进行专科评估和跨机构协调。</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Public, private and international providers form a coordinated network for specialist assessment and cross-institutional coordination.</w:t>
            </w:r>
          </w:p>
        </w:tc>
      </w:tr>
      <w:tr>
        <w:trPr>
          <w:cantSplit/>
        </w:trPr>
        <w:tc>
          <w:tcPr>
            <w:tcW w:type="dxa" w:w="2015"/>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全流程监管 / End-to-end oversight</w:t>
            </w:r>
          </w:p>
        </w:tc>
        <w:tc>
          <w:tcPr>
            <w:tcW w:type="dxa" w:w="381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特许药械覆盖申请、采购、通关、储运、使用、随访、不良事件监测、召回和销毁等环节。</w:t>
            </w:r>
          </w:p>
        </w:tc>
        <w:tc>
          <w:tcPr>
            <w:tcW w:type="dxa" w:w="3671"/>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Designated products are overseen from application and customs clearance through storage, use, follow-up, safety monitoring, recall and disposal.</w:t>
            </w:r>
          </w:p>
        </w:tc>
      </w:tr>
      <w:tr>
        <w:trPr>
          <w:cantSplit/>
        </w:trPr>
        <w:tc>
          <w:tcPr>
            <w:tcW w:type="dxa" w:w="201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自贸港与医疗旅行环境 / Free Trade Port setting</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海南自贸港政策、生态环境和医疗旅行配套，为境内外访客提供综合服务场景。</w:t>
            </w:r>
          </w:p>
        </w:tc>
        <w:tc>
          <w:tcPr>
            <w:tcW w:type="dxa" w:w="367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6"/>
              </w:rPr>
              <w:t>The Free Trade Port policy environment, ecological setting and travel support create a coordinated service context for domestic and overseas visitors.</w:t>
            </w:r>
          </w:p>
        </w:tc>
      </w:tr>
    </w:tbl>
    <w:p>
      <w:pPr>
        <w:pStyle w:val="Heading1"/>
        <w:keepNext/>
        <w:spacing w:before="220" w:after="100" w:line="252" w:lineRule="auto"/>
      </w:pPr>
      <w:r>
        <w:rPr>
          <w:rFonts w:ascii="Arial" w:hAnsi="Arial" w:eastAsia="Noto Sans SC"/>
          <w:b/>
          <w:i w:val="0"/>
          <w:color w:val="000000"/>
          <w:sz w:val="32"/>
        </w:rPr>
        <w:t>乐城与中国内地常规医疗体系的对比</w:t>
      </w:r>
      <w:r>
        <w:rPr>
          <w:rFonts w:ascii="Arial" w:hAnsi="Arial" w:eastAsia="Noto Sans SC"/>
          <w:b w:val="0"/>
          <w:i/>
          <w:color w:val="5B6573"/>
          <w:sz w:val="21"/>
        </w:rPr>
        <w:t xml:space="preserve">  Lecheng and conventional mainland care</w:t>
      </w:r>
    </w:p>
    <w:p>
      <w:pPr>
        <w:pStyle w:val="BodyText"/>
        <w:spacing w:before="0" w:after="40" w:line="283" w:lineRule="auto"/>
      </w:pPr>
      <w:r>
        <w:rPr>
          <w:rFonts w:ascii="Arial" w:hAnsi="Arial" w:eastAsia="Noto Sans SC"/>
          <w:b w:val="0"/>
          <w:i w:val="0"/>
          <w:color w:val="000000"/>
          <w:sz w:val="21"/>
        </w:rPr>
        <w:t>下表用于帮助访客理解“适合什么场景”，不是对医院等级、疗效或服务质量作绝对排名。实际选择应结合病情、药械资格、急救能力、费用、保险和回居住地后的随访安排。</w:t>
      </w:r>
    </w:p>
    <w:p>
      <w:pPr>
        <w:spacing w:before="0" w:after="140" w:line="271" w:lineRule="auto"/>
      </w:pPr>
      <w:r>
        <w:rPr>
          <w:rFonts w:ascii="Arial" w:hAnsi="Arial" w:eastAsia="Noto Sans SC"/>
          <w:b w:val="0"/>
          <w:i/>
          <w:color w:val="5B6573"/>
          <w:sz w:val="19"/>
        </w:rPr>
        <w:t>The table below helps visitors understand which setting may fit which situation. It is not an absolute ranking of hospitals, outcomes or service quality. The decision should consider the clinical condition, product eligibility, emergency capability, cost, insurance and follow-up after returning home.</w:t>
      </w:r>
    </w:p>
    <w:tbl>
      <w:tblPr>
        <w:tblW w:type="dxa" w:w="9504"/>
        <w:jc w:val="center"/>
        <w:tblLayout w:type="fixed"/>
        <w:tblLook w:firstColumn="1" w:firstRow="1" w:lastColumn="0" w:lastRow="0" w:noHBand="0" w:noVBand="1" w:val="04A0"/>
      </w:tblPr>
      <w:tblGrid>
        <w:gridCol w:w="1440"/>
        <w:gridCol w:w="2664"/>
        <w:gridCol w:w="2664"/>
        <w:gridCol w:w="2736"/>
      </w:tblGrid>
      <w:tr>
        <w:trPr>
          <w:tblHeader w:val="true"/>
          <w:cantSplit/>
        </w:trPr>
        <w:tc>
          <w:tcPr>
            <w:tcW w:type="dxa" w:w="14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5"/>
              </w:rPr>
              <w:t>维度 / Dimension</w:t>
            </w:r>
          </w:p>
        </w:tc>
        <w:tc>
          <w:tcPr>
            <w:tcW w:type="dxa" w:w="26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5"/>
              </w:rPr>
              <w:t>博鳌乐城 / Lecheng</w:t>
            </w:r>
          </w:p>
        </w:tc>
        <w:tc>
          <w:tcPr>
            <w:tcW w:type="dxa" w:w="26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5"/>
              </w:rPr>
              <w:t>内地常规体系 / Mainland system</w:t>
            </w:r>
          </w:p>
        </w:tc>
        <w:tc>
          <w:tcPr>
            <w:tcW w:type="dxa" w:w="273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5"/>
              </w:rPr>
              <w:t>对患者意味着什么 / Practical meaning</w:t>
            </w:r>
          </w:p>
        </w:tc>
      </w:tr>
      <w:tr>
        <w:trPr>
          <w:cantSplit/>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创新药械可及性 / Innovative products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部分符合条件的临床急需进口药械可在指定机构申报和使用。</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通常使用已获国家药监批准并纳入机构采购与用药管理的产品。</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乐城的优势是特定产品的制度性先行使用；并非所有海外新药械均可用。</w:t>
            </w:r>
          </w:p>
        </w:tc>
      </w:tr>
      <w:tr>
        <w:trPr>
          <w:cantSplit/>
        </w:trPr>
        <w:tc>
          <w:tcPr>
            <w:tcW w:type="dxa" w:w="144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急诊与常见病 / Emergency and routine care</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园区内机构能力各异，应逐家确认急诊、麻醉、ICU和转诊安排。</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大型综合医院通常拥有更成熟的急诊、住院、综合检查和本地连续照护体系。</w:t>
            </w:r>
          </w:p>
        </w:tc>
        <w:tc>
          <w:tcPr>
            <w:tcW w:type="dxa" w:w="273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突发重症、常见病和需要长期管理的情况，内地常规体系往往更便利。</w:t>
            </w:r>
          </w:p>
        </w:tc>
      </w:tr>
      <w:tr>
        <w:trPr>
          <w:cantSplit/>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专科与国际合作 / Specialists and international links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园区集中汇聚多元机构，便于国际专家合作和专科协调。</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全国分级诊疗和转诊网络覆盖广，顶级三甲专科资源集中在大型城市。</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“园区集中”不等于每家机构都具备同等的复杂手术或多学科能力。</w:t>
            </w:r>
          </w:p>
        </w:tc>
      </w:tr>
      <w:tr>
        <w:trPr>
          <w:cantSplit/>
        </w:trPr>
        <w:tc>
          <w:tcPr>
            <w:tcW w:type="dxa" w:w="144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研究与转化 / Research and translation</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真实世界数据试点可为注册审评提供补充证据。</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常规路径依靠注册审评、临床试验和技术指导原则推进。</w:t>
            </w:r>
          </w:p>
        </w:tc>
        <w:tc>
          <w:tcPr>
            <w:tcW w:type="dxa" w:w="273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真实世界数据不是自动上市或疗效保证；是否入组需另行知情同意。</w:t>
            </w:r>
          </w:p>
        </w:tc>
      </w:tr>
      <w:tr>
        <w:trPr>
          <w:cantSplit/>
        </w:trP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费用与医保 / Cost and insurance</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特许药械、高端服务和研究项目可能自费；商业险以合同和医院协议为准。</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目录内且符合适应证、定点机构、处方或医嘱等条件的费用，按基本医保规则支付。</w:t>
            </w:r>
          </w:p>
        </w:tc>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出行前应取得书面报价和保险确认，不要仅凭“自贸港”推断费用更低。</w:t>
            </w:r>
          </w:p>
        </w:tc>
      </w:tr>
      <w:tr>
        <w:trPr>
          <w:cantSplit/>
        </w:trPr>
        <w:tc>
          <w:tcPr>
            <w:tcW w:type="dxa" w:w="144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连续治疗 / Continuity of care</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可协调复诊、康复和部分符合条件的带药安排，但受现行规则和个案审批约束。</w:t>
            </w:r>
          </w:p>
        </w:tc>
        <w:tc>
          <w:tcPr>
            <w:tcW w:type="dxa" w:w="2664"/>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属地医院更便于长期随访、复查、慢病管理和突发情况处理。</w:t>
            </w:r>
          </w:p>
        </w:tc>
        <w:tc>
          <w:tcPr>
            <w:tcW w:type="dxa" w:w="2736"/>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5"/>
              </w:rPr>
              <w:t>需要长期治疗者应先设计回程后的随访、用药和转诊方案。</w:t>
            </w:r>
          </w:p>
        </w:tc>
      </w:tr>
    </w:tbl>
    <w:p>
      <w:pPr>
        <w:pStyle w:val="Heading2"/>
        <w:keepNext/>
        <w:spacing w:before="140" w:after="100" w:line="252" w:lineRule="auto"/>
      </w:pPr>
      <w:r>
        <w:rPr>
          <w:rFonts w:ascii="Arial" w:hAnsi="Arial" w:eastAsia="Noto Sans SC"/>
          <w:b/>
          <w:i w:val="0"/>
          <w:color w:val="000000"/>
          <w:sz w:val="25"/>
        </w:rPr>
        <w:t>关键判断</w:t>
      </w:r>
      <w:r>
        <w:rPr>
          <w:rFonts w:ascii="Arial" w:hAnsi="Arial" w:eastAsia="Noto Sans SC"/>
          <w:b w:val="0"/>
          <w:i/>
          <w:color w:val="5B6573"/>
          <w:sz w:val="19"/>
        </w:rPr>
        <w:t xml:space="preserve">  Decision guide</w:t>
      </w:r>
    </w:p>
    <w:p>
      <w:pPr>
        <w:pStyle w:val="BodyText"/>
        <w:spacing w:before="0" w:after="40" w:line="283" w:lineRule="auto"/>
      </w:pPr>
      <w:r>
        <w:rPr>
          <w:rFonts w:ascii="Arial" w:hAnsi="Arial" w:eastAsia="Noto Sans SC"/>
          <w:b w:val="0"/>
          <w:i w:val="0"/>
          <w:color w:val="000000"/>
          <w:sz w:val="21"/>
        </w:rPr>
        <w:t>如果访客关心的是某一款尚未在内地普遍上市的创新药械，乐城可能提供更早的合规评估和使用机会；如果重点是急诊、复杂多学科救治、常见病管理、医保支付或长期连续照护，大型综合医院和属地医疗网络往往更合适。两者可以通过转诊和随访安排形成互补。</w:t>
      </w:r>
    </w:p>
    <w:p>
      <w:pPr>
        <w:spacing w:before="0" w:after="140" w:line="271" w:lineRule="auto"/>
      </w:pPr>
      <w:r>
        <w:rPr>
          <w:rFonts w:ascii="Arial" w:hAnsi="Arial" w:eastAsia="Noto Sans SC"/>
          <w:b w:val="0"/>
          <w:i/>
          <w:color w:val="5B6573"/>
          <w:sz w:val="19"/>
        </w:rPr>
        <w:t>If a visitor is seeking an innovative medicine or device that is not yet broadly marketed in mainland China, Lecheng may offer an earlier regulated assessment and access opportunity. If the priority is emergency care, complex multidisciplinary treatment, routine disease management, public-insurance coverage or long-term continuity, a major general hospital and the local care network may be more suitable. The two settings can complement each other through referral and follow-up planning.</w:t>
      </w:r>
    </w:p>
    <w:p>
      <w:pPr>
        <w:pStyle w:val="Heading1"/>
        <w:keepNext/>
        <w:spacing w:before="220" w:after="100" w:line="252" w:lineRule="auto"/>
      </w:pPr>
      <w:r>
        <w:rPr>
          <w:rFonts w:ascii="Arial" w:hAnsi="Arial" w:eastAsia="Noto Sans SC"/>
          <w:b/>
          <w:i w:val="0"/>
          <w:color w:val="000000"/>
          <w:sz w:val="32"/>
        </w:rPr>
        <w:t>就医前需要确认</w:t>
      </w:r>
      <w:r>
        <w:rPr>
          <w:rFonts w:ascii="Arial" w:hAnsi="Arial" w:eastAsia="Noto Sans SC"/>
          <w:b w:val="0"/>
          <w:i/>
          <w:color w:val="5B6573"/>
          <w:sz w:val="21"/>
        </w:rPr>
        <w:t xml:space="preserve">  What to confirm before travel</w:t>
      </w:r>
    </w:p>
    <w:tbl>
      <w:tblPr>
        <w:tblW w:type="dxa" w:w="9504"/>
        <w:jc w:val="center"/>
        <w:tblLayout w:type="fixed"/>
        <w:tblLook w:firstColumn="1" w:firstRow="1" w:lastColumn="0" w:lastRow="0" w:noHBand="0" w:noVBand="1" w:val="04A0"/>
      </w:tblPr>
      <w:tblGrid>
        <w:gridCol w:w="792"/>
        <w:gridCol w:w="4392"/>
        <w:gridCol w:w="4320"/>
      </w:tblGrid>
      <w:tr>
        <w:trPr>
          <w:tblHeader w:val="true"/>
          <w:cantSplit/>
        </w:trPr>
        <w:tc>
          <w:tcPr>
            <w:tcW w:type="dxa" w:w="7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序号 / No.</w:t>
            </w:r>
          </w:p>
        </w:tc>
        <w:tc>
          <w:tcPr>
            <w:tcW w:type="dxa" w:w="43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中文确认项</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jc w:val="center"/>
            </w:pPr>
            <w:r>
              <w:rPr>
                <w:rFonts w:ascii="Arial" w:hAnsi="Arial" w:eastAsia="Noto Sans SC"/>
                <w:b/>
                <w:i w:val="0"/>
                <w:color w:val="FFFFFF"/>
                <w:sz w:val="17"/>
              </w:rPr>
              <w:t>English check</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center"/>
            </w:pPr>
            <w:r>
              <w:rPr>
                <w:rFonts w:ascii="Arial" w:hAnsi="Arial" w:eastAsia="Noto Sans SC"/>
                <w:b/>
                <w:i w:val="0"/>
                <w:color w:val="000000"/>
                <w:sz w:val="18"/>
              </w:rPr>
              <w:t>1</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项目是否属于现行临床急需或特许药械范围，是否有批准的适应证/适用范围。</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Whether the product or project falls within the current urgently-needed or designated-product pathway and has an approved indication or intended-use scope.</w:t>
            </w:r>
          </w:p>
        </w:tc>
      </w:tr>
      <w:tr>
        <w:trPr>
          <w:cantSplit/>
        </w:trPr>
        <w:tc>
          <w:tcPr>
            <w:tcW w:type="dxa" w:w="792"/>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center"/>
            </w:pPr>
            <w:r>
              <w:rPr>
                <w:rFonts w:ascii="Arial" w:hAnsi="Arial" w:eastAsia="Noto Sans SC"/>
                <w:b/>
                <w:i w:val="0"/>
                <w:color w:val="000000"/>
                <w:sz w:val="18"/>
              </w:rPr>
              <w:t>2</w:t>
            </w:r>
          </w:p>
        </w:tc>
        <w:tc>
          <w:tcPr>
            <w:tcW w:type="dxa" w:w="4392"/>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拟就诊机构、医生、设备和药械库存是否具备相应资质，是否接受境外患者。</w:t>
            </w:r>
          </w:p>
        </w:tc>
        <w:tc>
          <w:tcPr>
            <w:tcW w:type="dxa" w:w="432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Whether the provider, physician, equipment and product inventory are qualified and whether overseas patients are accepted.</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center"/>
            </w:pPr>
            <w:r>
              <w:rPr>
                <w:rFonts w:ascii="Arial" w:hAnsi="Arial" w:eastAsia="Noto Sans SC"/>
                <w:b/>
                <w:i w:val="0"/>
                <w:color w:val="000000"/>
                <w:sz w:val="18"/>
              </w:rPr>
              <w:t>3</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总费用、检查费、药械费、翻译陪同费、住宿费以及基本医保/商业保险覆盖。</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The total cost, including tests, products, interpretation, accommodation and public or commercial insurance coverage.</w:t>
            </w:r>
          </w:p>
        </w:tc>
      </w:tr>
      <w:tr>
        <w:trPr>
          <w:cantSplit/>
        </w:trPr>
        <w:tc>
          <w:tcPr>
            <w:tcW w:type="dxa" w:w="792"/>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center"/>
            </w:pPr>
            <w:r>
              <w:rPr>
                <w:rFonts w:ascii="Arial" w:hAnsi="Arial" w:eastAsia="Noto Sans SC"/>
                <w:b/>
                <w:i w:val="0"/>
                <w:color w:val="000000"/>
                <w:sz w:val="18"/>
              </w:rPr>
              <w:t>4</w:t>
            </w:r>
          </w:p>
        </w:tc>
        <w:tc>
          <w:tcPr>
            <w:tcW w:type="dxa" w:w="4392"/>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是否需要备案、知情同意、承诺书、个案审批或研究入组；研究是否完全自愿。</w:t>
            </w:r>
          </w:p>
        </w:tc>
        <w:tc>
          <w:tcPr>
            <w:tcW w:type="dxa" w:w="4320"/>
            <w:shd w:fill="EEF5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Whether filing, informed consent, commitments, case-specific approval or research enrolment is required, and that research participation is voluntary.</w:t>
            </w:r>
          </w:p>
        </w:tc>
      </w:tr>
      <w:tr>
        <w:trPr>
          <w:cantSplit/>
        </w:trP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center"/>
            </w:pPr>
            <w:r>
              <w:rPr>
                <w:rFonts w:ascii="Arial" w:hAnsi="Arial" w:eastAsia="Noto Sans SC"/>
                <w:b/>
                <w:i w:val="0"/>
                <w:color w:val="000000"/>
                <w:sz w:val="18"/>
              </w:rPr>
              <w:t>5</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治疗后复诊、药品携带、并发症处理、紧急转诊以及回居住地后的连续治疗安排。</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0" w:line="259" w:lineRule="auto"/>
              <w:jc w:val="left"/>
            </w:pPr>
            <w:r>
              <w:rPr>
                <w:rFonts w:ascii="Arial" w:hAnsi="Arial" w:eastAsia="Noto Sans SC"/>
                <w:b w:val="0"/>
                <w:i w:val="0"/>
                <w:color w:val="000000"/>
                <w:sz w:val="17"/>
              </w:rPr>
              <w:t>Follow-up, take-home medicine rules, complication management, emergency referral and continuity of treatment after returning home.</w:t>
            </w:r>
          </w:p>
        </w:tc>
      </w:tr>
    </w:tbl>
    <w:p>
      <w:pPr>
        <w:pStyle w:val="Heading2"/>
        <w:keepNext/>
        <w:spacing w:before="140" w:after="100" w:line="252" w:lineRule="auto"/>
      </w:pPr>
      <w:r>
        <w:rPr>
          <w:rFonts w:ascii="Arial" w:hAnsi="Arial" w:eastAsia="Noto Sans SC"/>
          <w:b/>
          <w:i w:val="0"/>
          <w:color w:val="000000"/>
          <w:sz w:val="25"/>
        </w:rPr>
        <w:t>网站合规声明</w:t>
      </w:r>
      <w:r>
        <w:rPr>
          <w:rFonts w:ascii="Arial" w:hAnsi="Arial" w:eastAsia="Noto Sans SC"/>
          <w:b w:val="0"/>
          <w:i/>
          <w:color w:val="5B6573"/>
          <w:sz w:val="19"/>
        </w:rPr>
        <w:t xml:space="preserve">  Website disclaimer</w:t>
      </w:r>
    </w:p>
    <w:p>
      <w:pPr>
        <w:pStyle w:val="BodyText"/>
        <w:spacing w:before="0" w:after="40" w:line="283" w:lineRule="auto"/>
      </w:pPr>
      <w:r>
        <w:rPr>
          <w:rFonts w:ascii="Arial" w:hAnsi="Arial" w:eastAsia="Noto Sans SC"/>
          <w:b w:val="0"/>
          <w:i w:val="0"/>
          <w:color w:val="000000"/>
          <w:sz w:val="21"/>
        </w:rPr>
        <w:t>本页面根据公开政府文件整理，仅用于介绍博鳌乐城国际医疗旅游先行区的政策和服务环境，不构成医疗建议、诊断、治疗承诺或药械可获得性保证。具体药品、医疗器械、适应症、费用、申请条件和带离安排，以现行法律政策、监管部门批准及指定医疗机构的个体化评估为准。境外已上市产品不等同于已在中国获批上市。</w:t>
      </w:r>
    </w:p>
    <w:p>
      <w:pPr>
        <w:spacing w:before="0" w:after="180" w:line="271" w:lineRule="auto"/>
      </w:pPr>
      <w:r>
        <w:rPr>
          <w:rFonts w:ascii="Arial" w:hAnsi="Arial" w:eastAsia="Noto Sans SC"/>
          <w:b w:val="0"/>
          <w:i/>
          <w:color w:val="5B6573"/>
          <w:sz w:val="19"/>
        </w:rPr>
        <w:t>This page is based on publicly available government documents and is intended only to introduce the policy and service environment of the Boao Lecheng International Medical Tourism Pilot Zone. It does not constitute medical advice, diagnosis, a treatment commitment or a guarantee that any medicine or medical device will be available. Product eligibility, indications, costs, application requirements and take-home arrangements are subject to current laws and policies, regulatory approval and individual assessment by a designated medical institution. A product marketed overseas is not necessarily approved for general marketing in China.</w:t>
      </w:r>
    </w:p>
    <w:p>
      <w:pPr>
        <w:pStyle w:val="Heading1"/>
        <w:keepNext/>
        <w:spacing w:before="220" w:after="100" w:line="252" w:lineRule="auto"/>
      </w:pPr>
      <w:r>
        <w:rPr>
          <w:rFonts w:ascii="Arial" w:hAnsi="Arial" w:eastAsia="Noto Sans SC"/>
          <w:b/>
          <w:i w:val="0"/>
          <w:color w:val="000000"/>
          <w:sz w:val="32"/>
        </w:rPr>
        <w:t>官方来源</w:t>
      </w:r>
      <w:r>
        <w:rPr>
          <w:rFonts w:ascii="Arial" w:hAnsi="Arial" w:eastAsia="Noto Sans SC"/>
          <w:b w:val="0"/>
          <w:i/>
          <w:color w:val="5B6573"/>
          <w:sz w:val="21"/>
        </w:rPr>
        <w:t xml:space="preserve">  Official sources</w:t>
      </w:r>
    </w:p>
    <w:p>
      <w:pPr>
        <w:spacing w:before="0" w:after="80" w:line="259" w:lineRule="auto"/>
      </w:pPr>
      <w:r>
        <w:rPr>
          <w:rFonts w:ascii="Arial" w:hAnsi="Arial" w:eastAsia="Noto Sans SC"/>
          <w:b w:val="0"/>
          <w:i w:val="0"/>
          <w:color w:val="000000"/>
          <w:sz w:val="18"/>
        </w:rPr>
        <w:t xml:space="preserve">国务院关于同意设立海南博鳌乐城国际医疗旅游先行区的批复（2013-02-28）  </w:t>
      </w:r>
      <w:hyperlink r:id="rId10">
        <w:r>
          <w:rPr>
            <w:rFonts w:ascii="Arial" w:hAnsi="Arial" w:eastAsia="Noto Sans SC"/>
            <w:color w:val="0F6B78"/>
            <w:u w:val="single"/>
          </w:rPr>
          <w:t>https://www.gov.cn/zhengce/content/2013-02/28/content_2341729.htm</w:t>
        </w:r>
      </w:hyperlink>
      <w:r>
        <w:rPr>
          <w:rFonts w:ascii="Arial" w:hAnsi="Arial" w:eastAsia="Noto Sans SC"/>
          <w:b w:val="0"/>
          <w:i w:val="0"/>
          <w:color w:val="5B6573"/>
          <w:sz w:val="17"/>
        </w:rPr>
        <w:br/>
        <w:t>用于核验设立依据、园区范围及首批先行先试政策。 / Establishment basis, planned area and initial policy pilots.</w:t>
      </w:r>
    </w:p>
    <w:p>
      <w:pPr>
        <w:spacing w:before="0" w:after="80" w:line="259" w:lineRule="auto"/>
      </w:pPr>
      <w:r>
        <w:rPr>
          <w:rFonts w:ascii="Arial" w:hAnsi="Arial" w:eastAsia="Noto Sans SC"/>
          <w:b w:val="0"/>
          <w:i w:val="0"/>
          <w:color w:val="000000"/>
          <w:sz w:val="18"/>
        </w:rPr>
        <w:t xml:space="preserve">关于支持建设博鳌乐城国际医疗旅游先行区的实施方案（2019-09）  </w:t>
      </w:r>
      <w:hyperlink r:id="rId11">
        <w:r>
          <w:rPr>
            <w:rFonts w:ascii="Arial" w:hAnsi="Arial" w:eastAsia="Noto Sans SC"/>
            <w:color w:val="0F6B78"/>
            <w:u w:val="single"/>
          </w:rPr>
          <w:t>https://www.gov.cn/zhengce/content/2019-09/16/content_5430398.htm</w:t>
        </w:r>
      </w:hyperlink>
      <w:r>
        <w:rPr>
          <w:rFonts w:ascii="Arial" w:hAnsi="Arial" w:eastAsia="Noto Sans SC"/>
          <w:b w:val="0"/>
          <w:i w:val="0"/>
          <w:color w:val="5B6573"/>
          <w:sz w:val="17"/>
        </w:rPr>
        <w:br/>
        <w:t>用于核验阶段性目标、真实世界数据、带药及医疗合作政策。 / Goals, real-world data, take-home medicine and cooperation policies.</w:t>
      </w:r>
    </w:p>
    <w:p>
      <w:pPr>
        <w:spacing w:before="0" w:after="80" w:line="259" w:lineRule="auto"/>
      </w:pPr>
      <w:r>
        <w:rPr>
          <w:rFonts w:ascii="Arial" w:hAnsi="Arial" w:eastAsia="Noto Sans SC"/>
          <w:b w:val="0"/>
          <w:i w:val="0"/>
          <w:color w:val="000000"/>
          <w:sz w:val="18"/>
        </w:rPr>
        <w:t xml:space="preserve">海南自由贸易港博鳌乐城国际医疗旅游先行区医疗药品器械管理规定解读（2022-11-30）  </w:t>
      </w:r>
      <w:hyperlink r:id="rId12">
        <w:r>
          <w:rPr>
            <w:rFonts w:ascii="Arial" w:hAnsi="Arial" w:eastAsia="Noto Sans SC"/>
            <w:color w:val="0F6B78"/>
            <w:u w:val="single"/>
          </w:rPr>
          <w:t>https://www.hainan.gov.cn/hainan/zxjd/202212/afbb24109f5d47559725f3f4a11ab9c0.shtml</w:t>
        </w:r>
      </w:hyperlink>
      <w:r>
        <w:rPr>
          <w:rFonts w:ascii="Arial" w:hAnsi="Arial" w:eastAsia="Noto Sans SC"/>
          <w:b w:val="0"/>
          <w:i w:val="0"/>
          <w:color w:val="5B6573"/>
          <w:sz w:val="17"/>
        </w:rPr>
        <w:br/>
        <w:t>用于核验四个特许、一体化监管和全流程追溯。 / Four policy pillars, integrated oversight and traceability.</w:t>
      </w:r>
    </w:p>
    <w:p>
      <w:pPr>
        <w:spacing w:before="0" w:after="80" w:line="259" w:lineRule="auto"/>
      </w:pPr>
      <w:r>
        <w:rPr>
          <w:rFonts w:ascii="Arial" w:hAnsi="Arial" w:eastAsia="Noto Sans SC"/>
          <w:b w:val="0"/>
          <w:i w:val="0"/>
          <w:color w:val="000000"/>
          <w:sz w:val="18"/>
        </w:rPr>
        <w:t xml:space="preserve">首个利用乐城真实世界数据医疗器械获批、乐城新政允许特许新药带离园区（2020-03-29）  </w:t>
      </w:r>
      <w:hyperlink r:id="rId13">
        <w:r>
          <w:rPr>
            <w:rFonts w:ascii="Arial" w:hAnsi="Arial" w:eastAsia="Noto Sans SC"/>
            <w:color w:val="0F6B78"/>
            <w:u w:val="single"/>
          </w:rPr>
          <w:t>https://amr.hainan.gov.cn/himpa/jdhy/xwfb/202003/t20200330_2768031.html</w:t>
        </w:r>
      </w:hyperlink>
      <w:r>
        <w:rPr>
          <w:rFonts w:ascii="Arial" w:hAnsi="Arial" w:eastAsia="Noto Sans SC"/>
          <w:b w:val="0"/>
          <w:i w:val="0"/>
          <w:color w:val="5B6573"/>
          <w:sz w:val="17"/>
        </w:rPr>
        <w:br/>
        <w:t>用于核验真实世界数据试点、早期带药规则和追溯平台。 / Real-world data pilot, early take-home rules and traceability.</w:t>
      </w:r>
    </w:p>
    <w:p>
      <w:pPr>
        <w:spacing w:before="0" w:after="80" w:line="259" w:lineRule="auto"/>
      </w:pPr>
      <w:r>
        <w:rPr>
          <w:rFonts w:ascii="Arial" w:hAnsi="Arial" w:eastAsia="Noto Sans SC"/>
          <w:b w:val="0"/>
          <w:i w:val="0"/>
          <w:color w:val="000000"/>
          <w:sz w:val="18"/>
        </w:rPr>
        <w:t xml:space="preserve">博鳌乐城先行区：开放创新造就医疗高地（2025-04-20）  </w:t>
      </w:r>
      <w:hyperlink r:id="rId14">
        <w:r>
          <w:rPr>
            <w:rFonts w:ascii="Arial" w:hAnsi="Arial" w:eastAsia="Noto Sans SC"/>
            <w:color w:val="0F6B78"/>
            <w:u w:val="single"/>
          </w:rPr>
          <w:t>https://www.hainan.gov.cn/hainan/sxian/202504/9611b0c0b8ba40fd8ee2db6d3a494857.shtml</w:t>
        </w:r>
      </w:hyperlink>
      <w:r>
        <w:rPr>
          <w:rFonts w:ascii="Arial" w:hAnsi="Arial" w:eastAsia="Noto Sans SC"/>
          <w:b w:val="0"/>
          <w:i w:val="0"/>
          <w:color w:val="5B6573"/>
          <w:sz w:val="17"/>
        </w:rPr>
        <w:br/>
        <w:t>用于核验截至报道日期的机构结构和阶段性动态数据。 / Provider mix and time-specific statistics.</w:t>
      </w:r>
    </w:p>
    <w:p>
      <w:pPr>
        <w:spacing w:before="0" w:after="80" w:line="259" w:lineRule="auto"/>
      </w:pPr>
      <w:r>
        <w:rPr>
          <w:rFonts w:ascii="Arial" w:hAnsi="Arial" w:eastAsia="Noto Sans SC"/>
          <w:b w:val="0"/>
          <w:i w:val="0"/>
          <w:color w:val="000000"/>
          <w:sz w:val="18"/>
        </w:rPr>
        <w:t xml:space="preserve">对十四届全国人大二次会议第2031号建议的答复（2024-07-03）  </w:t>
      </w:r>
      <w:hyperlink r:id="rId15">
        <w:r>
          <w:rPr>
            <w:rFonts w:ascii="Arial" w:hAnsi="Arial" w:eastAsia="Noto Sans SC"/>
            <w:color w:val="0F6B78"/>
            <w:u w:val="single"/>
          </w:rPr>
          <w:t>https://www.nmpa.gov.cn/directory/web/nmpa/zwgk/jyta/rdjy/20240703093342162.html</w:t>
        </w:r>
      </w:hyperlink>
      <w:r>
        <w:rPr>
          <w:rFonts w:ascii="Arial" w:hAnsi="Arial" w:eastAsia="Noto Sans SC"/>
          <w:b w:val="0"/>
          <w:i w:val="0"/>
          <w:color w:val="5B6573"/>
          <w:sz w:val="17"/>
        </w:rPr>
        <w:br/>
        <w:t>用于核验国家药监局对真实世界数据试点的说明。 / NMPA explanation of the real-world-data pilot.</w:t>
      </w:r>
    </w:p>
    <w:p>
      <w:pPr>
        <w:spacing w:before="0" w:after="80" w:line="259" w:lineRule="auto"/>
      </w:pPr>
      <w:r>
        <w:rPr>
          <w:rFonts w:ascii="Arial" w:hAnsi="Arial" w:eastAsia="Noto Sans SC"/>
          <w:b w:val="0"/>
          <w:i w:val="0"/>
          <w:color w:val="000000"/>
          <w:sz w:val="18"/>
        </w:rPr>
        <w:t xml:space="preserve">基本医疗保险用药管理暂行办法（2020-07-31）  </w:t>
      </w:r>
      <w:hyperlink r:id="rId16">
        <w:r>
          <w:rPr>
            <w:rFonts w:ascii="Arial" w:hAnsi="Arial" w:eastAsia="Noto Sans SC"/>
            <w:color w:val="0F6B78"/>
            <w:u w:val="single"/>
          </w:rPr>
          <w:t>https://www.nhsa.gov.cn/art/2020/7/31/art_37_3387.html</w:t>
        </w:r>
      </w:hyperlink>
      <w:r>
        <w:rPr>
          <w:rFonts w:ascii="Arial" w:hAnsi="Arial" w:eastAsia="Noto Sans SC"/>
          <w:b w:val="0"/>
          <w:i w:val="0"/>
          <w:color w:val="5B6573"/>
          <w:sz w:val="17"/>
        </w:rPr>
        <w:br/>
        <w:t>用于核验基本医保目录、适应证、定点机构和处方/医嘱条件。 / General public-insurance conditions.</w:t>
      </w:r>
    </w:p>
    <w:sectPr w:rsidR="00FC693F" w:rsidRPr="0006063C" w:rsidSect="00034616">
      <w:footerReference w:type="default" r:id="rId9"/>
      <w:pgSz w:w="12240" w:h="15840"/>
      <w:pgMar w:top="1037" w:right="1123" w:bottom="1008" w:left="1123"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Noto Sans SC"/>
        <w:b w:val="0"/>
        <w:i w:val="0"/>
        <w:color w:val="5B6573"/>
        <w:sz w:val="17"/>
      </w:rPr>
      <w:t xml:space="preserve">海南博鳌乐城国际医疗旅游先行区  |  核验日期 2026-10-13  |  </w:t>
    </w:r>
    <w:r>
      <w:rPr>
        <w:rFonts w:ascii="Arial" w:hAnsi="Arial" w:eastAsia="Noto Sans SC"/>
        <w:b w:val="0"/>
        <w:i w:val="0"/>
        <w:color w:val="5B6573"/>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SC"/>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SC"/>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SC"/>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SC"/>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Noto Sans SC"/>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cn/zhengce/content/2013-02/28/content_2341729.htm" TargetMode="External"/><Relationship Id="rId11" Type="http://schemas.openxmlformats.org/officeDocument/2006/relationships/hyperlink" Target="https://www.gov.cn/zhengce/content/2019-09/16/content_5430398.htm" TargetMode="External"/><Relationship Id="rId12" Type="http://schemas.openxmlformats.org/officeDocument/2006/relationships/hyperlink" Target="https://www.hainan.gov.cn/hainan/zxjd/202212/afbb24109f5d47559725f3f4a11ab9c0.shtml" TargetMode="External"/><Relationship Id="rId13" Type="http://schemas.openxmlformats.org/officeDocument/2006/relationships/hyperlink" Target="https://amr.hainan.gov.cn/himpa/jdhy/xwfb/202003/t20200330_2768031.html" TargetMode="External"/><Relationship Id="rId14" Type="http://schemas.openxmlformats.org/officeDocument/2006/relationships/hyperlink" Target="https://www.hainan.gov.cn/hainan/sxian/202504/9611b0c0b8ba40fd8ee2db6d3a494857.shtml" TargetMode="External"/><Relationship Id="rId15" Type="http://schemas.openxmlformats.org/officeDocument/2006/relationships/hyperlink" Target="https://www.nmpa.gov.cn/directory/web/nmpa/zwgk/jyta/rdjy/20240703093342162.html" TargetMode="External"/><Relationship Id="rId16" Type="http://schemas.openxmlformats.org/officeDocument/2006/relationships/hyperlink" Target="https://www.nhsa.gov.cn/art/2020/7/31/art_37_338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海南博鳌乐城园区与医疗资源中英文网站介绍</dc:title>
  <dc:subject>Boao Lecheng bilingual website introduction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