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7"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224B502C" w:rsidR="00436F89" w:rsidRDefault="00964F21">
      <w:r>
        <w:t xml:space="preserve">Planetary atmospheres provide the window through which can glimpse the surfaces and/or interiors of other worlds, and 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And the rich diversity and complexity of Solar System planetary atmospheres 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1EAB5070"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 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w:t>
      </w:r>
      <w:proofErr w:type="spellStart"/>
      <w:r w:rsidR="00131D4A">
        <w:t>Orbiter</w:t>
      </w:r>
      <w:r w:rsidR="00BE07C2">
        <w:t>m</w:t>
      </w:r>
      <w:proofErr w:type="spellEnd"/>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w:t>
      </w:r>
      <w:proofErr w:type="spellStart"/>
      <w:r w:rsidR="00131D4A">
        <w:t>ExoMars</w:t>
      </w:r>
      <w:proofErr w:type="spellEnd"/>
      <w:r w:rsidR="00131D4A">
        <w:t xml:space="preserve">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0871CF4A"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 leading to the launch of British instrument</w:t>
      </w:r>
      <w:r w:rsidR="000D6542">
        <w:t>s</w:t>
      </w:r>
      <w:r w:rsidR="00E65B4E">
        <w:t xml:space="preserve"> (led by John Houghton)</w:t>
      </w:r>
      <w:r w:rsidR="000D6542">
        <w:t xml:space="preserve"> on the NIMBUS weather satellites</w:t>
      </w:r>
      <w:r w:rsidR="000D6542">
        <w:rPr>
          <w:rStyle w:val="FootnoteReference"/>
        </w:rPr>
        <w:footnoteReference w:id="1"/>
      </w:r>
      <w:r w:rsidR="000D6542">
        <w:t xml:space="preserve">, </w:t>
      </w:r>
      <w:r w:rsidR="000D6542">
        <w:lastRenderedPageBreak/>
        <w:t xml:space="preserve">starting with the </w:t>
      </w:r>
      <w:r w:rsidR="000D6542" w:rsidRPr="00431B5E">
        <w:rPr>
          <w:bCs/>
        </w:rPr>
        <w:t>Selective Chopper Radiometer</w:t>
      </w:r>
      <w:r w:rsidR="000D6542" w:rsidRPr="00431B5E">
        <w:t> (</w:t>
      </w:r>
      <w:r w:rsidR="000D6542" w:rsidRPr="00431B5E">
        <w:rPr>
          <w:bCs/>
        </w:rPr>
        <w:t>SCR</w:t>
      </w:r>
      <w:r w:rsidR="000D6542" w:rsidRPr="00431B5E">
        <w:t>)</w:t>
      </w:r>
      <w:r w:rsidR="000D6542">
        <w:t xml:space="preserve"> on NIMBUS-4 (1970)</w:t>
      </w:r>
      <w:r w:rsidR="00431B5E">
        <w:t xml:space="preserve"> and NIMBUS-5 (1972)</w:t>
      </w:r>
      <w:r w:rsidR="000D6542">
        <w:t xml:space="preserve">, and continuing with the </w:t>
      </w:r>
      <w:r>
        <w:t xml:space="preserve">Pressure Modulated Radiometer on NIMBUS-6 </w:t>
      </w:r>
      <w:r w:rsidR="000D6542">
        <w:t>(</w:t>
      </w:r>
      <w:r>
        <w:t>1975</w:t>
      </w:r>
      <w:r w:rsidR="000D6542">
        <w:t>)</w:t>
      </w:r>
      <w:r>
        <w:t xml:space="preserve">, which operated successfully </w:t>
      </w:r>
      <w:r w:rsidR="000D6542">
        <w:t>for several years</w:t>
      </w:r>
      <w:r>
        <w:t xml:space="preserve">.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 xml:space="preserve">Venus orbiter </w:t>
      </w:r>
      <w:r w:rsidR="009F0EE8">
        <w:t>infrared</w:t>
      </w:r>
      <w:r w:rsidR="002F3BB0" w:rsidRPr="002F3BB0">
        <w:t xml:space="preserve"> </w:t>
      </w:r>
      <w:r w:rsidR="009A33DB">
        <w:t xml:space="preserve">radiometer </w:t>
      </w:r>
      <w:r w:rsidR="002F3BB0" w:rsidRPr="002F3BB0">
        <w:t>(</w:t>
      </w:r>
      <w:r w:rsidR="009F0EE8">
        <w:t>OIR</w:t>
      </w:r>
      <w:r w:rsidR="002F3BB0">
        <w:t xml:space="preserve">, Taylor et al., 1979).  </w:t>
      </w:r>
      <w:r w:rsidR="009A33DB">
        <w:t>OIR</w:t>
      </w:r>
      <w:r w:rsidR="002F3BB0">
        <w:t xml:space="preserve">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7FA7709A"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Observer was lost during its interplanetary cruise in 1993.  A similar instrument was flown on Mars Climate Orbiter, which was lost during orbit insertion and became the first British hardware on the Martian surface in 1999 (albeit in several thousand pieces).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w:t>
      </w:r>
      <w:r w:rsidR="00CF334E">
        <w:lastRenderedPageBreak/>
        <w:t>currently exploring whether deep zonal flows in Jupiter’s polar domains might be imposing 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C04E6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The most abundant nitrile is cyanogen, whose vertical and latitudinal distributions can now be derived from the Cassini dataset, revealing how it can be redistributed by Titan’s atmospheric circulation from north to south during northern spring.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w:t>
      </w:r>
      <w:r>
        <w:lastRenderedPageBreak/>
        <w:t xml:space="preserve">(by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48E199FC"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w:t>
      </w:r>
      <w:proofErr w:type="spellStart"/>
      <w:r w:rsidR="00CB0F2D">
        <w:t>ExoMars</w:t>
      </w:r>
      <w:proofErr w:type="spellEnd"/>
      <w:r w:rsidR="00CB0F2D">
        <w:t xml:space="preserve">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sight.  </w:t>
      </w:r>
    </w:p>
    <w:p w14:paraId="12EFACF0" w14:textId="77777777" w:rsidR="000E213B" w:rsidRDefault="000E213B" w:rsidP="00D2587F"/>
    <w:p w14:paraId="1A5C36A1" w14:textId="2A5FC43B"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 but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w:t>
      </w:r>
      <w:r w:rsidR="009F7BF7">
        <w:lastRenderedPageBreak/>
        <w:t xml:space="preserve">from the condensation of CO2, coupled with fast radiative timescales, prevent Mars’ annular polar vortex from being disrupted by </w:t>
      </w:r>
      <w:proofErr w:type="spellStart"/>
      <w:r w:rsidR="009F7BF7">
        <w:t>Rossby</w:t>
      </w:r>
      <w:proofErr w:type="spellEnd"/>
      <w:r w:rsidR="009F7BF7">
        <w:t xml:space="preserve">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5CB13E1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w:t>
      </w:r>
      <w:proofErr w:type="spellStart"/>
      <w:r>
        <w:t>ExoMars</w:t>
      </w:r>
      <w:proofErr w:type="spellEnd"/>
      <w:r>
        <w:t xml:space="preserve"> TGO (see below),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And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794897B5" w:rsidR="00A827E5" w:rsidRPr="00C927C3" w:rsidRDefault="00C927C3" w:rsidP="002A7B42">
      <w:pPr>
        <w:rPr>
          <w:lang w:val="en-US"/>
        </w:rPr>
      </w:pPr>
      <w:proofErr w:type="spellStart"/>
      <w:r w:rsidRPr="00C927C3">
        <w:rPr>
          <w:lang w:val="en-US"/>
        </w:rPr>
        <w:t>ExoMars</w:t>
      </w:r>
      <w:proofErr w:type="spellEnd"/>
      <w:r w:rsidRPr="00C927C3">
        <w:rPr>
          <w:lang w:val="en-US"/>
        </w:rPr>
        <w:t xml:space="preserve">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xml:space="preserve">, and appears to require an active source, either biological or </w:t>
      </w:r>
      <w:proofErr w:type="spellStart"/>
      <w:r w:rsidR="002A7B42">
        <w:t>abiological</w:t>
      </w:r>
      <w:proofErr w:type="spellEnd"/>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sidR="00A07B1F" w:rsidRPr="00A07B1F">
        <w:rPr>
          <w:iCs/>
          <w:lang w:val="en-US"/>
        </w:rPr>
        <w:t>Korablev</w:t>
      </w:r>
      <w:proofErr w:type="spellEnd"/>
      <w:r w:rsidR="00A07B1F">
        <w:rPr>
          <w:iCs/>
          <w:lang w:val="en-US"/>
        </w:rPr>
        <w:t xml:space="preserve"> </w:t>
      </w:r>
      <w:r>
        <w:rPr>
          <w:iCs/>
          <w:lang w:val="en-US"/>
        </w:rPr>
        <w:t xml:space="preserve">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w:t>
      </w:r>
      <w:r w:rsidR="00A827E5">
        <w:lastRenderedPageBreak/>
        <w:t xml:space="preserve">photochemical simulations to investigate trace species that might be detected from </w:t>
      </w:r>
      <w:proofErr w:type="spellStart"/>
      <w:r w:rsidR="00A827E5">
        <w:t>ExoMars</w:t>
      </w:r>
      <w:proofErr w:type="spellEnd"/>
      <w:r w:rsidR="00A827E5">
        <w:t xml:space="preserve">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 and how the recent Martian dust storm altered the circulation patterns.  But, as with NOMAD, there are no traces of Martian methane yet.</w:t>
      </w:r>
    </w:p>
    <w:p w14:paraId="3357A786" w14:textId="4C49604B" w:rsidR="008B1C54" w:rsidRDefault="008B1C54" w:rsidP="00C927C3"/>
    <w:p w14:paraId="2DDEEE88" w14:textId="6FBB4B24"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Venus’ atmosphere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  And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w:t>
      </w:r>
      <w:proofErr w:type="spellStart"/>
      <w:r w:rsidR="008B1C54">
        <w:t>ExoMars</w:t>
      </w:r>
      <w:proofErr w:type="spellEnd"/>
      <w:r w:rsidR="008B1C54">
        <w:t xml:space="preserve">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64560031" w:rsidR="007D2223" w:rsidRDefault="00484161" w:rsidP="007D2223">
      <w:pPr>
        <w:rPr>
          <w:bCs/>
        </w:rPr>
      </w:pPr>
      <w:r>
        <w:lastRenderedPageBreak/>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the core of a proto-planet to form its gaseous envelope.  These theories can each be tested via in situ sampling from a probe to the ~10-bar level,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119FC928" w:rsidR="00112CFB" w:rsidRDefault="00112CFB" w:rsidP="00EC66D0">
      <w:pPr>
        <w:rPr>
          <w:bCs/>
        </w:rPr>
      </w:pPr>
      <w:r>
        <w:rPr>
          <w:bCs/>
        </w:rPr>
        <w:t>The UK Solar System Planetary Atmospheres meeting captured just a small snapshot of the diversity of atmospheric research in the UK, and built on fifty years of growth in this field via 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27F05A64" w14:textId="77777777" w:rsidR="00EC66D0" w:rsidRPr="00EC66D0" w:rsidRDefault="00EC66D0" w:rsidP="00EC66D0">
      <w:pPr>
        <w:rPr>
          <w:bCs/>
        </w:rPr>
      </w:pPr>
    </w:p>
    <w:p w14:paraId="4D634985" w14:textId="17F586D0" w:rsidR="007D2223" w:rsidRDefault="00A80718" w:rsidP="00A80718">
      <w:pPr>
        <w:pStyle w:val="Heading2"/>
      </w:pPr>
      <w:r>
        <w:t>Further Reading</w:t>
      </w:r>
    </w:p>
    <w:p w14:paraId="4141A0D2" w14:textId="0DC3682A" w:rsidR="00A80718" w:rsidRDefault="00A80718" w:rsidP="007D2223"/>
    <w:p w14:paraId="4B9D4490" w14:textId="77777777" w:rsidR="00A80718" w:rsidRPr="00A80718" w:rsidRDefault="00A80718" w:rsidP="00A80718">
      <w:pPr>
        <w:pStyle w:val="ListParagraph"/>
        <w:numPr>
          <w:ilvl w:val="0"/>
          <w:numId w:val="1"/>
        </w:numPr>
      </w:pPr>
      <w:r>
        <w:lastRenderedPageBreak/>
        <w:t xml:space="preserve">Taylor, 2016, </w:t>
      </w:r>
      <w:r w:rsidRPr="00A80718">
        <w:t>Exploring the Planets</w:t>
      </w:r>
      <w:r>
        <w:t xml:space="preserve">: </w:t>
      </w:r>
      <w:r w:rsidRPr="00A80718">
        <w:t>A Memoir</w:t>
      </w:r>
      <w:r>
        <w:t xml:space="preserve">, Oxford University Press, </w:t>
      </w:r>
      <w:r w:rsidRPr="00A80718">
        <w:t>ISBN: 9780199671595</w:t>
      </w:r>
    </w:p>
    <w:p w14:paraId="650268A3" w14:textId="38E5F1E5" w:rsidR="00A80718" w:rsidRDefault="00A80718" w:rsidP="00A80718">
      <w:pPr>
        <w:pStyle w:val="ListParagraph"/>
        <w:numPr>
          <w:ilvl w:val="0"/>
          <w:numId w:val="1"/>
        </w:numPr>
      </w:pPr>
      <w:r w:rsidRPr="00A80718">
        <w:t>Taylor et al., 1979</w:t>
      </w:r>
    </w:p>
    <w:p w14:paraId="687DC07F" w14:textId="1BAF7AAC" w:rsidR="00A80718" w:rsidRPr="00A80718" w:rsidRDefault="00A80718" w:rsidP="00A80718">
      <w:pPr>
        <w:pStyle w:val="ListParagraph"/>
        <w:numPr>
          <w:ilvl w:val="0"/>
          <w:numId w:val="1"/>
        </w:numPr>
      </w:pPr>
      <w:proofErr w:type="spellStart"/>
      <w:r w:rsidRPr="00A80718">
        <w:t>Antunano</w:t>
      </w:r>
      <w:proofErr w:type="spellEnd"/>
      <w:r w:rsidRPr="00A80718">
        <w:t xml:space="preserve"> et al., 2018</w:t>
      </w:r>
    </w:p>
    <w:p w14:paraId="1C7FDEDD" w14:textId="3AD20789" w:rsidR="00A80718" w:rsidRDefault="00A80718" w:rsidP="00A80718">
      <w:pPr>
        <w:pStyle w:val="ListParagraph"/>
        <w:numPr>
          <w:ilvl w:val="0"/>
          <w:numId w:val="1"/>
        </w:numPr>
      </w:pPr>
      <w:r w:rsidRPr="00A80718">
        <w:t>Fletcher &amp; Rogers, 2018</w:t>
      </w:r>
    </w:p>
    <w:p w14:paraId="2677E3C5" w14:textId="3BCBF884" w:rsidR="00A80718" w:rsidRDefault="00A80718" w:rsidP="00A80718">
      <w:pPr>
        <w:pStyle w:val="ListParagraph"/>
        <w:numPr>
          <w:ilvl w:val="0"/>
          <w:numId w:val="1"/>
        </w:numPr>
      </w:pPr>
      <w:r w:rsidRPr="00A80718">
        <w:t>Irwin et al., 2018</w:t>
      </w:r>
    </w:p>
    <w:p w14:paraId="1B09BA78" w14:textId="789F28D8" w:rsidR="00A80718" w:rsidRDefault="00A80718" w:rsidP="00A80718">
      <w:pPr>
        <w:pStyle w:val="ListParagraph"/>
        <w:numPr>
          <w:ilvl w:val="0"/>
          <w:numId w:val="1"/>
        </w:numPr>
      </w:pPr>
      <w:r>
        <w:t>Fletcher et al. 2020</w:t>
      </w:r>
    </w:p>
    <w:p w14:paraId="0CEECC4D" w14:textId="625114B9" w:rsidR="00A80718" w:rsidRDefault="00A80718" w:rsidP="00A80718">
      <w:pPr>
        <w:pStyle w:val="ListParagraph"/>
        <w:numPr>
          <w:ilvl w:val="0"/>
          <w:numId w:val="1"/>
        </w:numPr>
      </w:pPr>
      <w:r w:rsidRPr="00A80718">
        <w:t>Banfield, Spiga et al., 2020</w:t>
      </w:r>
    </w:p>
    <w:p w14:paraId="5B94E50E" w14:textId="265B0580" w:rsidR="00A80718" w:rsidRPr="00A80718" w:rsidRDefault="00A80718" w:rsidP="00A80718">
      <w:pPr>
        <w:pStyle w:val="ListParagraph"/>
        <w:numPr>
          <w:ilvl w:val="0"/>
          <w:numId w:val="1"/>
        </w:numPr>
      </w:pPr>
      <w:proofErr w:type="spellStart"/>
      <w:r w:rsidRPr="00A80718">
        <w:rPr>
          <w:iCs/>
          <w:lang w:val="en-US"/>
        </w:rPr>
        <w:t>Korablev</w:t>
      </w:r>
      <w:proofErr w:type="spellEnd"/>
      <w:r w:rsidRPr="00A80718">
        <w:rPr>
          <w:iCs/>
          <w:lang w:val="en-US"/>
        </w:rPr>
        <w:t xml:space="preserve"> et al., 2019</w:t>
      </w:r>
    </w:p>
    <w:p w14:paraId="0CEEBA9F" w14:textId="77777777" w:rsidR="00A80718" w:rsidRPr="007D2223" w:rsidRDefault="00A80718" w:rsidP="00A80718">
      <w:pPr>
        <w:ind w:left="360"/>
      </w:pPr>
      <w:bookmarkStart w:id="0" w:name="_GoBack"/>
      <w:bookmarkEnd w:id="0"/>
    </w:p>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FFFB" w14:textId="77777777" w:rsidR="00F67CB4" w:rsidRDefault="00F67CB4" w:rsidP="007C744E">
      <w:r>
        <w:separator/>
      </w:r>
    </w:p>
  </w:endnote>
  <w:endnote w:type="continuationSeparator" w:id="0">
    <w:p w14:paraId="3097FD13" w14:textId="77777777" w:rsidR="00F67CB4" w:rsidRDefault="00F67CB4"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AB6B8" w14:textId="77777777" w:rsidR="00F67CB4" w:rsidRDefault="00F67CB4" w:rsidP="007C744E">
      <w:r>
        <w:separator/>
      </w:r>
    </w:p>
  </w:footnote>
  <w:footnote w:type="continuationSeparator" w:id="0">
    <w:p w14:paraId="59FEDE96" w14:textId="77777777" w:rsidR="00F67CB4" w:rsidRDefault="00F67CB4" w:rsidP="007C744E">
      <w:r>
        <w:continuationSeparator/>
      </w:r>
    </w:p>
  </w:footnote>
  <w:footnote w:id="1">
    <w:p w14:paraId="38F25E27" w14:textId="7B2FAE02" w:rsidR="000D6542" w:rsidRDefault="000D6542">
      <w:pPr>
        <w:pStyle w:val="FootnoteText"/>
      </w:pPr>
      <w:r>
        <w:rPr>
          <w:rStyle w:val="FootnoteReference"/>
        </w:rPr>
        <w:footnoteRef/>
      </w:r>
      <w:r>
        <w:t xml:space="preserve"> </w:t>
      </w:r>
      <w:hyperlink r:id="rId1" w:history="1">
        <w:r w:rsidRPr="000D6542">
          <w:rPr>
            <w:rStyle w:val="Hyperlink"/>
          </w:rPr>
          <w:t>https://en.wikipedia.org/wiki/Nimbus_program</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C6446"/>
    <w:multiLevelType w:val="hybridMultilevel"/>
    <w:tmpl w:val="D6C4B336"/>
    <w:lvl w:ilvl="0" w:tplc="CF1C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D6542"/>
    <w:rsid w:val="000E213B"/>
    <w:rsid w:val="000E688D"/>
    <w:rsid w:val="00112CFB"/>
    <w:rsid w:val="00131D4A"/>
    <w:rsid w:val="001D3ADC"/>
    <w:rsid w:val="00281552"/>
    <w:rsid w:val="002A3934"/>
    <w:rsid w:val="002A7B42"/>
    <w:rsid w:val="002E3CA5"/>
    <w:rsid w:val="002F1961"/>
    <w:rsid w:val="002F3BB0"/>
    <w:rsid w:val="0030387A"/>
    <w:rsid w:val="003058E4"/>
    <w:rsid w:val="003811DC"/>
    <w:rsid w:val="003B7E74"/>
    <w:rsid w:val="00405EEE"/>
    <w:rsid w:val="00431B5E"/>
    <w:rsid w:val="00436F89"/>
    <w:rsid w:val="00460442"/>
    <w:rsid w:val="00484161"/>
    <w:rsid w:val="005B1217"/>
    <w:rsid w:val="005F0FBD"/>
    <w:rsid w:val="00643F43"/>
    <w:rsid w:val="00645655"/>
    <w:rsid w:val="006E02E5"/>
    <w:rsid w:val="00736BD4"/>
    <w:rsid w:val="007B4452"/>
    <w:rsid w:val="007C744E"/>
    <w:rsid w:val="007D2223"/>
    <w:rsid w:val="008B1C54"/>
    <w:rsid w:val="00905BFD"/>
    <w:rsid w:val="00964F21"/>
    <w:rsid w:val="0096659A"/>
    <w:rsid w:val="009A33DB"/>
    <w:rsid w:val="009E684C"/>
    <w:rsid w:val="009F0EE8"/>
    <w:rsid w:val="009F7BF7"/>
    <w:rsid w:val="00A07B1F"/>
    <w:rsid w:val="00A6032C"/>
    <w:rsid w:val="00A80718"/>
    <w:rsid w:val="00A827E5"/>
    <w:rsid w:val="00AD6179"/>
    <w:rsid w:val="00B259E8"/>
    <w:rsid w:val="00B57940"/>
    <w:rsid w:val="00B82CA7"/>
    <w:rsid w:val="00BE07C2"/>
    <w:rsid w:val="00C0042F"/>
    <w:rsid w:val="00C927C3"/>
    <w:rsid w:val="00CA10F5"/>
    <w:rsid w:val="00CB0F2D"/>
    <w:rsid w:val="00CF334E"/>
    <w:rsid w:val="00D10723"/>
    <w:rsid w:val="00D2587F"/>
    <w:rsid w:val="00DD67E1"/>
    <w:rsid w:val="00E053F9"/>
    <w:rsid w:val="00E4271D"/>
    <w:rsid w:val="00E52A70"/>
    <w:rsid w:val="00E65B4E"/>
    <w:rsid w:val="00EC66D0"/>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99">
      <w:bodyDiv w:val="1"/>
      <w:marLeft w:val="0"/>
      <w:marRight w:val="0"/>
      <w:marTop w:val="0"/>
      <w:marBottom w:val="0"/>
      <w:divBdr>
        <w:top w:val="none" w:sz="0" w:space="0" w:color="auto"/>
        <w:left w:val="none" w:sz="0" w:space="0" w:color="auto"/>
        <w:bottom w:val="none" w:sz="0" w:space="0" w:color="auto"/>
        <w:right w:val="none" w:sz="0" w:space="0" w:color="auto"/>
      </w:divBdr>
    </w:div>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27197937">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591308105">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019429509">
      <w:bodyDiv w:val="1"/>
      <w:marLeft w:val="0"/>
      <w:marRight w:val="0"/>
      <w:marTop w:val="0"/>
      <w:marBottom w:val="0"/>
      <w:divBdr>
        <w:top w:val="none" w:sz="0" w:space="0" w:color="auto"/>
        <w:left w:val="none" w:sz="0" w:space="0" w:color="auto"/>
        <w:bottom w:val="none" w:sz="0" w:space="0" w:color="auto"/>
        <w:right w:val="none" w:sz="0" w:space="0" w:color="auto"/>
      </w:divBdr>
    </w:div>
    <w:div w:id="2109695364">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program"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Fletcher, Leigh N. (Dr.)</cp:lastModifiedBy>
  <cp:revision>31</cp:revision>
  <dcterms:created xsi:type="dcterms:W3CDTF">2020-02-27T08:49:00Z</dcterms:created>
  <dcterms:modified xsi:type="dcterms:W3CDTF">2020-02-27T20:51:00Z</dcterms:modified>
</cp:coreProperties>
</file>