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2B3A4C"/>
          <w:sz w:val="48"/>
          <w:szCs w:val="48"/>
        </w:rPr>
        <w:t xml:space="preserve">TaskSquad</w:t>
      </w:r>
    </w:p>
    <w:p>
      <w:pPr>
        <w:spacing w:after="80"/>
        <w:jc w:val="center"/>
      </w:pPr>
      <w:r>
        <w:rPr>
          <w:rFonts w:ascii="Arial" w:cs="Arial" w:eastAsia="Arial" w:hAnsi="Arial"/>
          <w:color w:val="666666"/>
          <w:sz w:val="28"/>
          <w:szCs w:val="28"/>
        </w:rPr>
        <w:t xml:space="preserve">SAP ASE to Microsoft SQL Server</w:t>
      </w:r>
    </w:p>
    <w:p>
      <w:pPr>
        <w:spacing w:after="200"/>
        <w:jc w:val="center"/>
      </w:pPr>
      <w:r>
        <w:rPr>
          <w:rFonts w:ascii="Arial" w:cs="Arial" w:eastAsia="Arial" w:hAnsi="Arial"/>
          <w:color w:val="888888"/>
          <w:sz w:val="24"/>
          <w:szCs w:val="24"/>
        </w:rPr>
        <w:t xml:space="preserve">Conversion Approach for Problem Queries and Stored Procedures</w:t>
      </w:r>
    </w:p>
    <w:p>
      <w:pPr>
        <w:spacing w:after="80"/>
      </w:pPr>
    </w:p>
    <w:p>
      <w:pPr>
        <w:jc w:val="center"/>
      </w:pPr>
      <w:r>
        <w:rPr>
          <w:rFonts w:ascii="Arial" w:cs="Arial" w:eastAsia="Arial" w:hAnsi="Arial"/>
          <w:color w:val="888888"/>
          <w:sz w:val="24"/>
          <w:szCs w:val="24"/>
        </w:rPr>
        <w:t xml:space="preserve">CGI  ·  March 2026</w:t>
      </w:r>
    </w:p>
    <w:p>
      <w:pPr>
        <w:jc w:val="center"/>
      </w:pPr>
      <w:r>
        <w:rPr>
          <w:rFonts w:ascii="Arial" w:cs="Arial" w:eastAsia="Arial" w:hAnsi="Arial"/>
          <w:color w:val="CC0000"/>
          <w:sz w:val="20"/>
          <w:szCs w:val="20"/>
        </w:rPr>
        <w:t xml:space="preserve">INTERNAL  ·  NOT FOR DISTRIBUTION</w:t>
      </w:r>
    </w:p>
    <w:p>
      <w:r>
        <w:br w:type="page"/>
      </w:r>
    </w:p>
    <w:p>
      <w:pPr>
        <w:pStyle w:val="Heading1"/>
        <w:spacing w:before="360" w:after="200"/>
      </w:pPr>
      <w:r>
        <w:rPr>
          <w:rFonts w:ascii="Arial" w:cs="Arial" w:eastAsia="Arial" w:hAnsi="Arial"/>
        </w:rPr>
        <w:t xml:space="preserve">Executive Summary</w:t>
      </w:r>
    </w:p>
    <w:p>
      <w:pPr>
        <w:spacing w:after="160" w:line="340"/>
      </w:pPr>
      <w:r>
        <w:rPr>
          <w:rFonts w:ascii="Arial" w:cs="Arial" w:eastAsia="Arial" w:hAnsi="Arial"/>
          <w:sz w:val="22"/>
          <w:szCs w:val="22"/>
        </w:rPr>
        <w:t xml:space="preserve">This document describes how the TaskSquad multi-agent development workflow will be applied to the SAP ASE to Microsoft SQL Server database replatform project. The focus is on converting problem queries and stored procedures that cannot be fully handled by automated migration tools such as Microsoft SSMA.</w:t>
      </w:r>
    </w:p>
    <w:p>
      <w:pPr>
        <w:spacing w:after="160" w:line="340"/>
      </w:pPr>
      <w:r>
        <w:rPr>
          <w:rFonts w:ascii="Arial" w:cs="Arial" w:eastAsia="Arial" w:hAnsi="Arial"/>
          <w:sz w:val="22"/>
          <w:szCs w:val="22"/>
        </w:rPr>
        <w:t xml:space="preserve">TaskSquad deploys a fleet of autonomous AI coding agents, coordinated by a Program Manager agent, to convert individual queries and procedures in parallel. Each conversion is a self-contained story with machine-verifiable acceptance criteria: the converted SQL must produce identical results on MS SQL as the original does on ASE. A read-only MCP server provides agents with safe access to the MS SQL target schema for validation.</w:t>
      </w:r>
    </w:p>
    <w:p>
      <w:pPr>
        <w:spacing w:after="160" w:line="340"/>
      </w:pPr>
      <w:r>
        <w:rPr>
          <w:rFonts w:ascii="Arial" w:cs="Arial" w:eastAsia="Arial" w:hAnsi="Arial"/>
          <w:sz w:val="22"/>
          <w:szCs w:val="22"/>
        </w:rPr>
        <w:t xml:space="preserve">The approach is designed to handle the simpler conversion cases autonomously, freeing human developers to focus on the most complex stored procedures that require business logic understanding. Even for complex cases, the agent-produced first-pass conversion accelerates human work by handling the mechanical syntax transformation.</w:t>
      </w:r>
    </w:p>
    <w:p>
      <w:r>
        <w:br w:type="page"/>
      </w:r>
    </w:p>
    <w:p>
      <w:pPr>
        <w:pStyle w:val="Heading1"/>
        <w:spacing w:before="360" w:after="200"/>
      </w:pPr>
      <w:r>
        <w:rPr>
          <w:rFonts w:ascii="Arial" w:cs="Arial" w:eastAsia="Arial" w:hAnsi="Arial"/>
        </w:rPr>
        <w:t xml:space="preserve">Project Context</w:t>
      </w:r>
    </w:p>
    <w:p>
      <w:pPr>
        <w:pStyle w:val="Heading2"/>
        <w:spacing w:before="280" w:after="160"/>
      </w:pPr>
      <w:r>
        <w:rPr>
          <w:rFonts w:ascii="Arial" w:cs="Arial" w:eastAsia="Arial" w:hAnsi="Arial"/>
        </w:rPr>
        <w:t xml:space="preserve">The Migration Challenge</w:t>
      </w:r>
    </w:p>
    <w:p>
      <w:pPr>
        <w:spacing w:after="160" w:line="340"/>
      </w:pPr>
      <w:r>
        <w:rPr>
          <w:rFonts w:ascii="Arial" w:cs="Arial" w:eastAsia="Arial" w:hAnsi="Arial"/>
          <w:sz w:val="22"/>
          <w:szCs w:val="22"/>
        </w:rPr>
        <w:t xml:space="preserve">SAP ASE (formerly Sybase ASE) and Microsoft SQL Server share a common ancestry in Sybase T-SQL. However, the dialects have diverged significantly since the Microsoft-Sybase split in the mid-1990s. While SSMA and similar bulk migration tools handle schema conversion and straightforward query translation, they typically convert less than 70% of SQL logic successfully. The remaining 30% comprises the problem jobs that this approach targets.</w:t>
      </w:r>
    </w:p>
    <w:p>
      <w:pPr>
        <w:spacing w:after="80"/>
      </w:pPr>
    </w:p>
    <w:p>
      <w:pPr>
        <w:pStyle w:val="Heading2"/>
        <w:spacing w:before="280" w:after="160"/>
      </w:pPr>
      <w:r>
        <w:rPr>
          <w:rFonts w:ascii="Arial" w:cs="Arial" w:eastAsia="Arial" w:hAnsi="Arial"/>
        </w:rPr>
        <w:t xml:space="preserve">Common ASE to MS SQL Divergence Patterns</w:t>
      </w:r>
    </w:p>
    <w:p>
      <w:pPr>
        <w:spacing w:after="160" w:line="340"/>
      </w:pPr>
      <w:r>
        <w:rPr>
          <w:rFonts w:ascii="Arial" w:cs="Arial" w:eastAsia="Arial" w:hAnsi="Arial"/>
          <w:sz w:val="22"/>
          <w:szCs w:val="22"/>
        </w:rPr>
        <w:t xml:space="preserve">The following patterns are the primary sources of conversion failures. These are well-documented and predictable, making them suitable for AI-assisted conversion: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ASE Pattern</w:t>
            </w:r>
          </w:p>
        </w:tc>
        <w:tc>
          <w:tcPr>
            <w:tcW w:type="dxa" w:w="360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MS SQL Equivalent</w:t>
            </w:r>
          </w:p>
        </w:tc>
        <w:tc>
          <w:tcPr>
            <w:tcW w:type="dxa" w:w="256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after each statement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TRY/CATCH blocks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structural rewrite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RAISERROR with ASE syntax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THROW or RAISERROR with MS SQL syntax</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 syntax swap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ASE-specific CONVERT style codes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SQL CONVERT style codes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lookup table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 table scope differences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 SQL #temp behaviour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logic review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syntax (ASE-specific)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SQL cursor syntax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to medium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ROWCOUNT for limiting updates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TOP(n) pattern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 pattern replacement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Cross-database references (db..table)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qualified names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mechanical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ASE system procedures (sp_*)</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 SQL equivalents or INFORMATION_SCHEMA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may not have 1:1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column handling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SQL IDENTITY / SCOPE_IDENTITY()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to medium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function variations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 SQL string functions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 documented mappings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proc parameter defaults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SQL default syntax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syntax swap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Dynamic SQL (EXEC vs sp_executesql)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sp_executesql with parameterisation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security improvement opportunity</w:t>
            </w:r>
          </w:p>
        </w:tc>
      </w:tr>
    </w:tbl>
    <w:p>
      <w:r>
        <w:br w:type="page"/>
      </w:r>
    </w:p>
    <w:p>
      <w:pPr>
        <w:pStyle w:val="Heading1"/>
        <w:spacing w:before="360" w:after="200"/>
      </w:pPr>
      <w:r>
        <w:rPr>
          <w:rFonts w:ascii="Arial" w:cs="Arial" w:eastAsia="Arial" w:hAnsi="Arial"/>
        </w:rPr>
        <w:t xml:space="preserve">Tooling Assessment</w:t>
      </w:r>
    </w:p>
    <w:p>
      <w:pPr>
        <w:pStyle w:val="Heading2"/>
        <w:spacing w:before="280" w:after="160"/>
      </w:pPr>
      <w:r>
        <w:rPr>
          <w:rFonts w:ascii="Arial" w:cs="Arial" w:eastAsia="Arial" w:hAnsi="Arial"/>
        </w:rPr>
        <w:t xml:space="preserve">SQLGlot MCP Server — Not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6600" w:sz="1"/>
              <w:left w:val="single" w:color="CC6600" w:sz="6"/>
              <w:bottom w:val="single" w:color="CC6600" w:sz="1"/>
              <w:right w:val="single" w:color="CC6600" w:sz="1"/>
            </w:tcBorders>
            <w:shd w:fill="FFF3E0" w:val="clear"/>
            <w:tcMar>
              <w:top w:type="dxa" w:w="120"/>
              <w:left w:type="dxa" w:w="200"/>
              <w:bottom w:type="dxa" w:w="120"/>
              <w:right w:type="dxa" w:w="200"/>
            </w:tcMar>
          </w:tcPr>
          <w:p>
            <w:r>
              <w:rPr>
                <w:rFonts w:ascii="Arial" w:cs="Arial" w:eastAsia="Arial" w:hAnsi="Arial"/>
                <w:sz w:val="22"/>
                <w:szCs w:val="22"/>
              </w:rPr>
              <w:t xml:space="preserve">SQLGlot does not have a Sybase ASE dialect. Its supported dialects include TSQL (Microsoft T-SQL) but not ASE. Since both source and target would be parsed as the same dialect, the transpiler produces no meaningful conversion. SQLGlot-based MCP servers add no value to this specific migration.</w:t>
            </w:r>
          </w:p>
        </w:tc>
      </w:tr>
    </w:tbl>
    <w:p>
      <w:pPr>
        <w:spacing w:after="80"/>
      </w:pPr>
    </w:p>
    <w:p>
      <w:pPr>
        <w:spacing w:after="160" w:line="340"/>
      </w:pPr>
      <w:r>
        <w:rPr>
          <w:rFonts w:ascii="Arial" w:cs="Arial" w:eastAsia="Arial" w:hAnsi="Arial"/>
          <w:sz w:val="22"/>
          <w:szCs w:val="22"/>
        </w:rPr>
        <w:t xml:space="preserve">The Baronco/SQL-Transpiler-MCP-Tool (the primary SQLGlot MCP wrapper available) was evaluated and rejected for this reason. SQLGlot is an excellent tool for cross-dialect migrations (e.g., Oracle to PostgreSQL) but the ASE-to-MS-SQL use case falls in a gap where the dialects are too similar for SQLGlot to distinguish but too different in practice to ignore.</w:t>
      </w:r>
    </w:p>
    <w:p>
      <w:pPr>
        <w:spacing w:after="80"/>
      </w:pPr>
    </w:p>
    <w:p>
      <w:pPr>
        <w:pStyle w:val="Heading2"/>
        <w:spacing w:before="280" w:after="160"/>
      </w:pPr>
      <w:r>
        <w:rPr>
          <w:rFonts w:ascii="Arial" w:cs="Arial" w:eastAsia="Arial" w:hAnsi="Arial"/>
        </w:rPr>
        <w:t xml:space="preserve">Microsoft SSMA v10.5 — Bulk Conversion</w:t>
      </w:r>
    </w:p>
    <w:p>
      <w:pPr>
        <w:spacing w:after="160" w:line="340"/>
      </w:pPr>
      <w:r>
        <w:rPr>
          <w:rFonts w:ascii="Arial" w:cs="Arial" w:eastAsia="Arial" w:hAnsi="Arial"/>
          <w:sz w:val="22"/>
          <w:szCs w:val="22"/>
        </w:rPr>
        <w:t xml:space="preserve">Microsoft released SSMA v10.5 in February 2026 with AI-assisted (Copilot-powered) code conversion specifically for SAP ASE to SQL Server. This is the recommended tool for the initial bulk conversion pass. SSMA handles schema migration, data transfer, and straightforward SQL conversion. Microsoft reports approximately 30% improvement in conversion efficiency when using the Copilot-assisted mode.</w:t>
      </w:r>
    </w:p>
    <w:p>
      <w:pPr>
        <w:spacing w:after="160" w:line="340"/>
      </w:pPr>
      <w:r>
        <w:rPr>
          <w:rFonts w:ascii="Arial" w:cs="Arial" w:eastAsia="Arial" w:hAnsi="Arial"/>
          <w:sz w:val="22"/>
          <w:szCs w:val="22"/>
        </w:rPr>
        <w:t xml:space="preserve">TaskSquad does not replace SSMA. It handles the remediation phase: the queries and procedures that SSMA converts incorrectly, partially, or not at all. These are the problem jobs that currently require manual developer intervention.</w:t>
      </w:r>
    </w:p>
    <w:p>
      <w:pPr>
        <w:spacing w:after="80"/>
      </w:pPr>
    </w:p>
    <w:p>
      <w:pPr>
        <w:pStyle w:val="Heading2"/>
        <w:spacing w:before="280" w:after="160"/>
      </w:pPr>
      <w:r>
        <w:rPr>
          <w:rFonts w:ascii="Arial" w:cs="Arial" w:eastAsia="Arial" w:hAnsi="Arial"/>
        </w:rPr>
        <w:t xml:space="preserve">Recommended: ConnorBritain/mssql-mcp-reader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r>
              <w:rPr>
                <w:rFonts w:ascii="Arial" w:cs="Arial" w:eastAsia="Arial" w:hAnsi="Arial"/>
                <w:i/>
                <w:iCs/>
                <w:sz w:val="22"/>
                <w:szCs w:val="22"/>
              </w:rPr>
              <w:t xml:space="preserve">A purpose-built read-only MCP server for MS SQL with governance controls, audit logging, and multi-environment support. This is the agent's window into the target database.</w:t>
            </w:r>
          </w:p>
        </w:tc>
      </w:tr>
    </w:tbl>
    <w:p>
      <w:pPr>
        <w:spacing w:after="80"/>
      </w:pPr>
    </w:p>
    <w:p>
      <w:pPr>
        <w:spacing w:after="160" w:line="340"/>
      </w:pPr>
      <w:r>
        <w:rPr>
          <w:rFonts w:ascii="Arial" w:cs="Arial" w:eastAsia="Arial" w:hAnsi="Arial"/>
          <w:sz w:val="22"/>
          <w:szCs w:val="22"/>
        </w:rPr>
        <w:t xml:space="preserve">Key features that make this the right choice for TaskSquad:</w:t>
      </w:r>
    </w:p>
    <w:p>
      <w:pPr>
        <w:pStyle w:val="ListParagraph"/>
        <w:numPr>
          <w:ilvl w:val="0"/>
          <w:numId w:val="2"/>
        </w:numPr>
        <w:spacing w:after="80" w:line="340"/>
      </w:pPr>
      <w:r>
        <w:rPr>
          <w:rFonts w:ascii="Arial" w:cs="Arial" w:eastAsia="Arial" w:hAnsi="Arial"/>
          <w:sz w:val="22"/>
          <w:szCs w:val="22"/>
        </w:rPr>
        <w:t xml:space="preserve">Read-only by design — agents cannot modify the target database</w:t>
      </w:r>
    </w:p>
    <w:p>
      <w:pPr>
        <w:pStyle w:val="ListParagraph"/>
        <w:numPr>
          <w:ilvl w:val="0"/>
          <w:numId w:val="2"/>
        </w:numPr>
        <w:spacing w:after="80" w:line="340"/>
      </w:pPr>
      <w:r>
        <w:rPr>
          <w:rFonts w:ascii="Arial" w:cs="Arial" w:eastAsia="Arial" w:hAnsi="Arial"/>
          <w:sz w:val="22"/>
          <w:szCs w:val="22"/>
        </w:rPr>
        <w:t xml:space="preserve">Governance controls: allowedTools, deniedTools, allowedSchemas, deniedSchemas</w:t>
      </w:r>
    </w:p>
    <w:p>
      <w:pPr>
        <w:pStyle w:val="ListParagraph"/>
        <w:numPr>
          <w:ilvl w:val="0"/>
          <w:numId w:val="2"/>
        </w:numPr>
        <w:spacing w:after="80" w:line="340"/>
      </w:pPr>
      <w:r>
        <w:rPr>
          <w:rFonts w:ascii="Arial" w:cs="Arial" w:eastAsia="Arial" w:hAnsi="Arial"/>
          <w:sz w:val="22"/>
          <w:szCs w:val="22"/>
        </w:rPr>
        <w:t xml:space="preserve">Audit logging in JSON Lines format — every agent query is recorded</w:t>
      </w:r>
    </w:p>
    <w:p>
      <w:pPr>
        <w:pStyle w:val="ListParagraph"/>
        <w:numPr>
          <w:ilvl w:val="0"/>
          <w:numId w:val="2"/>
        </w:numPr>
        <w:spacing w:after="80" w:line="340"/>
      </w:pPr>
      <w:r>
        <w:rPr>
          <w:rFonts w:ascii="Arial" w:cs="Arial" w:eastAsia="Arial" w:hAnsi="Arial"/>
          <w:sz w:val="22"/>
          <w:szCs w:val="22"/>
        </w:rPr>
        <w:t xml:space="preserve">Secret management with ${secret:NAME} placeholders — no credentials in agent-accessible files</w:t>
      </w:r>
    </w:p>
    <w:p>
      <w:pPr>
        <w:pStyle w:val="ListParagraph"/>
        <w:numPr>
          <w:ilvl w:val="0"/>
          <w:numId w:val="2"/>
        </w:numPr>
        <w:spacing w:after="80" w:line="340"/>
      </w:pPr>
      <w:r>
        <w:rPr>
          <w:rFonts w:ascii="Arial" w:cs="Arial" w:eastAsia="Arial" w:hAnsi="Arial"/>
          <w:sz w:val="22"/>
          <w:szCs w:val="22"/>
        </w:rPr>
        <w:t xml:space="preserve">Multi-environment support — named database environments (dev, staging, prod) with per-environment policies</w:t>
      </w:r>
    </w:p>
    <w:p>
      <w:pPr>
        <w:pStyle w:val="ListParagraph"/>
        <w:numPr>
          <w:ilvl w:val="0"/>
          <w:numId w:val="2"/>
        </w:numPr>
        <w:spacing w:after="80" w:line="340"/>
      </w:pPr>
      <w:r>
        <w:rPr>
          <w:rFonts w:ascii="Arial" w:cs="Arial" w:eastAsia="Arial" w:hAnsi="Arial"/>
          <w:sz w:val="22"/>
          <w:szCs w:val="22"/>
        </w:rPr>
        <w:t xml:space="preserve">Named SQL scripts — pre-approved parameterised queries for common validation patterns</w:t>
      </w:r>
    </w:p>
    <w:p>
      <w:pPr>
        <w:pStyle w:val="ListParagraph"/>
        <w:numPr>
          <w:ilvl w:val="0"/>
          <w:numId w:val="2"/>
        </w:numPr>
        <w:spacing w:after="80" w:line="340"/>
      </w:pPr>
      <w:r>
        <w:rPr>
          <w:rFonts w:ascii="Arial" w:cs="Arial" w:eastAsia="Arial" w:hAnsi="Arial"/>
          <w:sz w:val="22"/>
          <w:szCs w:val="22"/>
        </w:rPr>
        <w:t xml:space="preserve">npm package (@connorbritain/mssql-mcp-reader) for easy deployment into K8s worker pods</w:t>
      </w:r>
    </w:p>
    <w:p>
      <w:pPr>
        <w:spacing w:after="80"/>
      </w:pPr>
    </w:p>
    <w:p>
      <w:pPr>
        <w:pStyle w:val="Heading2"/>
        <w:spacing w:before="280" w:after="160"/>
      </w:pPr>
      <w:r>
        <w:rPr>
          <w:rFonts w:ascii="Arial" w:cs="Arial" w:eastAsia="Arial" w:hAnsi="Arial"/>
        </w:rPr>
        <w:t xml:space="preserve">Claude Code as the Primary Conversion Engine</w:t>
      </w:r>
    </w:p>
    <w:p>
      <w:pPr>
        <w:spacing w:after="160" w:line="340"/>
      </w:pPr>
      <w:r>
        <w:rPr>
          <w:rFonts w:ascii="Arial" w:cs="Arial" w:eastAsia="Arial" w:hAnsi="Arial"/>
          <w:sz w:val="22"/>
          <w:szCs w:val="22"/>
        </w:rPr>
        <w:t xml:space="preserve">Rather than relying on a mechanical transpiler, the primary conversion tool is Claude Code itself. Claude has substantial knowledge of both ASE and MS SQL T-SQL dialects, including the specific divergence patterns listed above. Combined with a conversion patterns guide in the worklog repository, Claude Code agents can handle both the mechanical syntax changes and the structural rewrites (like @@error to TRY/CATCH) that no transpiler tool currently supports for ASE.</w:t>
      </w:r>
    </w:p>
    <w:p>
      <w:pPr>
        <w:spacing w:after="160" w:line="340"/>
      </w:pPr>
      <w:r>
        <w:rPr>
          <w:rFonts w:ascii="Arial" w:cs="Arial" w:eastAsia="Arial" w:hAnsi="Arial"/>
          <w:sz w:val="22"/>
          <w:szCs w:val="22"/>
        </w:rPr>
        <w:t xml:space="preserve">This is not a limitation — it is the reason TaskSquad adds value. The mechanical conversions are already handled by SSMA. What remains are the cases that require understanding of SQL semantics, not just syntax transformation.</w:t>
      </w:r>
    </w:p>
    <w:p>
      <w:r>
        <w:br w:type="page"/>
      </w:r>
    </w:p>
    <w:p>
      <w:pPr>
        <w:pStyle w:val="Heading1"/>
        <w:spacing w:before="360" w:after="200"/>
      </w:pPr>
      <w:r>
        <w:rPr>
          <w:rFonts w:ascii="Arial" w:cs="Arial" w:eastAsia="Arial" w:hAnsi="Arial"/>
        </w:rPr>
        <w:t xml:space="preserve">TaskSquad Conversion Workflow</w:t>
      </w:r>
    </w:p>
    <w:p>
      <w:pPr>
        <w:pStyle w:val="Heading2"/>
        <w:spacing w:before="280" w:after="160"/>
      </w:pPr>
      <w:r>
        <w:rPr>
          <w:rFonts w:ascii="Arial" w:cs="Arial" w:eastAsia="Arial" w:hAnsi="Arial"/>
        </w:rPr>
        <w:t xml:space="preserve">Phase 1: Triage and Story Creation</w:t>
      </w:r>
    </w:p>
    <w:p>
      <w:pPr>
        <w:spacing w:after="160" w:line="340"/>
      </w:pPr>
      <w:r>
        <w:rPr>
          <w:rFonts w:ascii="Arial" w:cs="Arial" w:eastAsia="Arial" w:hAnsi="Arial"/>
          <w:sz w:val="22"/>
          <w:szCs w:val="22"/>
        </w:rPr>
        <w:t xml:space="preserve">After SSMA completes the bulk migration, the remaining problem jobs are triaged and classified: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00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TaskSquad Handling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syntax differences (RAISERROR format, CONVERT styles, string functions)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autonomous — agent converts, validates, closes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Structural rewrites (@@error to TRY/CATCH, cursor refactoring, SET ROWCOUNT replacement)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Autonomous with human review of completion report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business logic, dynamic SQL, multi-statement transactions, cross-database dependencies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produces first-pass conversion; human developer completes</w:t>
            </w:r>
          </w:p>
        </w:tc>
      </w:tr>
    </w:tbl>
    <w:p>
      <w:pPr>
        <w:spacing w:after="80"/>
      </w:pPr>
    </w:p>
    <w:p>
      <w:pPr>
        <w:spacing w:after="160" w:line="340"/>
      </w:pPr>
      <w:r>
        <w:rPr>
          <w:rFonts w:ascii="Arial" w:cs="Arial" w:eastAsia="Arial" w:hAnsi="Arial"/>
          <w:sz w:val="22"/>
          <w:szCs w:val="22"/>
        </w:rPr>
        <w:t xml:space="preserve">Each problem query or procedure becomes a story in the worklog backlog with the source SQL, known issues identified by SSMA, severity classification, and acceptance criteria including the expected baseline output.</w:t>
      </w:r>
    </w:p>
    <w:p>
      <w:pPr>
        <w:spacing w:after="80"/>
      </w:pPr>
    </w:p>
    <w:p>
      <w:pPr>
        <w:pStyle w:val="Heading2"/>
        <w:spacing w:before="280" w:after="160"/>
      </w:pPr>
      <w:r>
        <w:rPr>
          <w:rFonts w:ascii="Arial" w:cs="Arial" w:eastAsia="Arial" w:hAnsi="Arial"/>
        </w:rPr>
        <w:t xml:space="preserve">Phase 2: Baseline Capture</w:t>
      </w:r>
    </w:p>
    <w:p>
      <w:pPr>
        <w:spacing w:after="160" w:line="340"/>
      </w:pPr>
      <w:r>
        <w:rPr>
          <w:rFonts w:ascii="Arial" w:cs="Arial" w:eastAsia="Arial" w:hAnsi="Arial"/>
          <w:sz w:val="22"/>
          <w:szCs w:val="22"/>
        </w:rPr>
        <w:t xml:space="preserve">Before any conversion work begins, baselines are captured for every problem job:</w:t>
      </w:r>
    </w:p>
    <w:p>
      <w:pPr>
        <w:pStyle w:val="ListParagraph"/>
        <w:numPr>
          <w:ilvl w:val="0"/>
          <w:numId w:val="2"/>
        </w:numPr>
        <w:spacing w:after="80" w:line="340"/>
      </w:pPr>
      <w:r>
        <w:rPr>
          <w:rFonts w:ascii="Arial" w:cs="Arial" w:eastAsia="Arial" w:hAnsi="Arial"/>
          <w:sz w:val="22"/>
          <w:szCs w:val="22"/>
        </w:rPr>
        <w:t xml:space="preserve">Execute the original ASE query/procedure against a test dataset</w:t>
      </w:r>
    </w:p>
    <w:p>
      <w:pPr>
        <w:pStyle w:val="ListParagraph"/>
        <w:numPr>
          <w:ilvl w:val="0"/>
          <w:numId w:val="2"/>
        </w:numPr>
        <w:spacing w:after="80" w:line="340"/>
      </w:pPr>
      <w:r>
        <w:rPr>
          <w:rFonts w:ascii="Arial" w:cs="Arial" w:eastAsia="Arial" w:hAnsi="Arial"/>
          <w:sz w:val="22"/>
          <w:szCs w:val="22"/>
        </w:rPr>
        <w:t xml:space="preserve">Record: result set (row count, column values, ordering), execution time, output parameters (for procedures), affected row counts (for DML)</w:t>
      </w:r>
    </w:p>
    <w:p>
      <w:pPr>
        <w:pStyle w:val="ListParagraph"/>
        <w:numPr>
          <w:ilvl w:val="0"/>
          <w:numId w:val="2"/>
        </w:numPr>
        <w:spacing w:after="80" w:line="340"/>
      </w:pPr>
      <w:r>
        <w:rPr>
          <w:rFonts w:ascii="Arial" w:cs="Arial" w:eastAsia="Arial" w:hAnsi="Arial"/>
          <w:sz w:val="22"/>
          <w:szCs w:val="22"/>
        </w:rPr>
        <w:t xml:space="preserve">Store baselines in the worklog as part of the story spec</w:t>
      </w:r>
    </w:p>
    <w:p>
      <w:pPr>
        <w:spacing w:after="160" w:line="340"/>
      </w:pPr>
      <w:r>
        <w:rPr>
          <w:rFonts w:ascii="Arial" w:cs="Arial" w:eastAsia="Arial" w:hAnsi="Arial"/>
          <w:sz w:val="22"/>
          <w:szCs w:val="22"/>
        </w:rPr>
        <w:t xml:space="preserve">These baselines are the acceptance criteria. A conversion is correct if and only if it produces the same observable output on MS SQL.</w:t>
      </w:r>
    </w:p>
    <w:p>
      <w:pPr>
        <w:spacing w:after="80"/>
      </w:pPr>
    </w:p>
    <w:p>
      <w:pPr>
        <w:pStyle w:val="Heading2"/>
        <w:spacing w:before="280" w:after="160"/>
      </w:pPr>
      <w:r>
        <w:rPr>
          <w:rFonts w:ascii="Arial" w:cs="Arial" w:eastAsia="Arial" w:hAnsi="Arial"/>
        </w:rPr>
        <w:t xml:space="preserve">Phase 3: Agent Conversion</w:t>
      </w:r>
    </w:p>
    <w:p>
      <w:pPr>
        <w:spacing w:after="160" w:line="340"/>
      </w:pPr>
      <w:r>
        <w:rPr>
          <w:rFonts w:ascii="Arial" w:cs="Arial" w:eastAsia="Arial" w:hAnsi="Arial"/>
          <w:sz w:val="22"/>
          <w:szCs w:val="22"/>
        </w:rPr>
        <w:t xml:space="preserve">The PM agent dispatches conversion stories to worker pods. Each worker agent follows this process:</w:t>
      </w:r>
    </w:p>
    <w:p>
      <w:pPr>
        <w:spacing w:after="80"/>
      </w:pPr>
    </w:p>
    <w:p>
      <w:pPr>
        <w:pStyle w:val="ListParagraph"/>
        <w:numPr>
          <w:ilvl w:val="0"/>
          <w:numId w:val="3"/>
        </w:numPr>
        <w:spacing w:after="80" w:line="340"/>
      </w:pPr>
      <w:r>
        <w:rPr>
          <w:rFonts w:ascii="Arial" w:cs="Arial" w:eastAsia="Arial" w:hAnsi="Arial"/>
          <w:sz w:val="22"/>
          <w:szCs w:val="22"/>
        </w:rPr>
        <w:t xml:space="preserve">Read the story spec: source ASE SQL, known issues, severity, baseline output</w:t>
      </w:r>
    </w:p>
    <w:p>
      <w:pPr>
        <w:pStyle w:val="ListParagraph"/>
        <w:numPr>
          <w:ilvl w:val="0"/>
          <w:numId w:val="3"/>
        </w:numPr>
        <w:spacing w:after="80" w:line="340"/>
      </w:pPr>
      <w:r>
        <w:rPr>
          <w:rFonts w:ascii="Arial" w:cs="Arial" w:eastAsia="Arial" w:hAnsi="Arial"/>
          <w:sz w:val="22"/>
          <w:szCs w:val="22"/>
        </w:rPr>
        <w:t xml:space="preserve">Read the conversion patterns guide from the worklog for known ASE-to-MS-SQL mappings</w:t>
      </w:r>
    </w:p>
    <w:p>
      <w:pPr>
        <w:pStyle w:val="ListParagraph"/>
        <w:numPr>
          <w:ilvl w:val="0"/>
          <w:numId w:val="3"/>
        </w:numPr>
        <w:spacing w:after="80" w:line="340"/>
      </w:pPr>
      <w:r>
        <w:rPr>
          <w:rFonts w:ascii="Arial" w:cs="Arial" w:eastAsia="Arial" w:hAnsi="Arial"/>
          <w:sz w:val="22"/>
          <w:szCs w:val="22"/>
        </w:rPr>
        <w:t xml:space="preserve">Analyse the source SQL and identify all ASE-specific constructs</w:t>
      </w:r>
    </w:p>
    <w:p>
      <w:pPr>
        <w:pStyle w:val="ListParagraph"/>
        <w:numPr>
          <w:ilvl w:val="0"/>
          <w:numId w:val="3"/>
        </w:numPr>
        <w:spacing w:after="80" w:line="340"/>
      </w:pPr>
      <w:r>
        <w:rPr>
          <w:rFonts w:ascii="Arial" w:cs="Arial" w:eastAsia="Arial" w:hAnsi="Arial"/>
          <w:sz w:val="22"/>
          <w:szCs w:val="22"/>
        </w:rPr>
        <w:t xml:space="preserve">Apply conversions: mechanical syntax changes first, then structural rewrites</w:t>
      </w:r>
    </w:p>
    <w:p>
      <w:pPr>
        <w:pStyle w:val="ListParagraph"/>
        <w:numPr>
          <w:ilvl w:val="0"/>
          <w:numId w:val="3"/>
        </w:numPr>
        <w:spacing w:after="80" w:line="340"/>
      </w:pPr>
      <w:r>
        <w:rPr>
          <w:rFonts w:ascii="Arial" w:cs="Arial" w:eastAsia="Arial" w:hAnsi="Arial"/>
          <w:sz w:val="22"/>
          <w:szCs w:val="22"/>
        </w:rPr>
        <w:t xml:space="preserve">Connect to the MS SQL test instance via the mssql-mcp-reader MCP server</w:t>
      </w:r>
    </w:p>
    <w:p>
      <w:pPr>
        <w:pStyle w:val="ListParagraph"/>
        <w:numPr>
          <w:ilvl w:val="0"/>
          <w:numId w:val="3"/>
        </w:numPr>
        <w:spacing w:after="80" w:line="340"/>
      </w:pPr>
      <w:r>
        <w:rPr>
          <w:rFonts w:ascii="Arial" w:cs="Arial" w:eastAsia="Arial" w:hAnsi="Arial"/>
          <w:sz w:val="22"/>
          <w:szCs w:val="22"/>
        </w:rPr>
        <w:t xml:space="preserve">Validate the converted SQL: inspect the target schema, verify table and column references</w:t>
      </w:r>
    </w:p>
    <w:p>
      <w:pPr>
        <w:pStyle w:val="ListParagraph"/>
        <w:numPr>
          <w:ilvl w:val="0"/>
          <w:numId w:val="3"/>
        </w:numPr>
        <w:spacing w:after="80" w:line="340"/>
      </w:pPr>
      <w:r>
        <w:rPr>
          <w:rFonts w:ascii="Arial" w:cs="Arial" w:eastAsia="Arial" w:hAnsi="Arial"/>
          <w:sz w:val="22"/>
          <w:szCs w:val="22"/>
        </w:rPr>
        <w:t xml:space="preserve">Execute the converted query/procedure (if read-only) and compare results against baseline</w:t>
      </w:r>
    </w:p>
    <w:p>
      <w:pPr>
        <w:pStyle w:val="ListParagraph"/>
        <w:numPr>
          <w:ilvl w:val="0"/>
          <w:numId w:val="3"/>
        </w:numPr>
        <w:spacing w:after="80" w:line="340"/>
      </w:pPr>
      <w:r>
        <w:rPr>
          <w:rFonts w:ascii="Arial" w:cs="Arial" w:eastAsia="Arial" w:hAnsi="Arial"/>
          <w:sz w:val="22"/>
          <w:szCs w:val="22"/>
        </w:rPr>
        <w:t xml:space="preserve">For procedures with write operations: document the conversion and flag for human execution testing</w:t>
      </w:r>
    </w:p>
    <w:p>
      <w:pPr>
        <w:pStyle w:val="ListParagraph"/>
        <w:numPr>
          <w:ilvl w:val="0"/>
          <w:numId w:val="3"/>
        </w:numPr>
        <w:spacing w:after="80" w:line="340"/>
      </w:pPr>
      <w:r>
        <w:rPr>
          <w:rFonts w:ascii="Arial" w:cs="Arial" w:eastAsia="Arial" w:hAnsi="Arial"/>
          <w:sz w:val="22"/>
          <w:szCs w:val="22"/>
        </w:rPr>
        <w:t xml:space="preserve">Write a completion report with the converted SQL, diff against baseline, and any escalations</w:t>
      </w:r>
    </w:p>
    <w:p>
      <w:pPr>
        <w:spacing w:after="80"/>
      </w:pPr>
    </w:p>
    <w:p>
      <w:pPr>
        <w:pStyle w:val="Heading2"/>
        <w:spacing w:before="280" w:after="160"/>
      </w:pPr>
      <w:r>
        <w:rPr>
          <w:rFonts w:ascii="Arial" w:cs="Arial" w:eastAsia="Arial" w:hAnsi="Arial"/>
        </w:rPr>
        <w:t xml:space="preserve">Phase 4: Validation and Closure</w:t>
      </w:r>
    </w:p>
    <w:p>
      <w:pPr>
        <w:spacing w:after="160" w:line="340"/>
      </w:pPr>
      <w:r>
        <w:rPr>
          <w:rFonts w:ascii="Arial" w:cs="Arial" w:eastAsia="Arial" w:hAnsi="Arial"/>
          <w:sz w:val="22"/>
          <w:szCs w:val="22"/>
        </w:rPr>
        <w:t xml:space="preserve">The PM agent validates each completion report:</w:t>
      </w:r>
    </w:p>
    <w:p>
      <w:pPr>
        <w:pStyle w:val="ListParagraph"/>
        <w:numPr>
          <w:ilvl w:val="0"/>
          <w:numId w:val="2"/>
        </w:numPr>
        <w:spacing w:after="80" w:line="340"/>
      </w:pPr>
      <w:r>
        <w:rPr>
          <w:rFonts w:ascii="Arial" w:cs="Arial" w:eastAsia="Arial" w:hAnsi="Arial"/>
          <w:sz w:val="22"/>
          <w:szCs w:val="22"/>
        </w:rPr>
        <w:t xml:space="preserve">For read-only queries: verifies that the result set matches the baseline (row count, values)</w:t>
      </w:r>
    </w:p>
    <w:p>
      <w:pPr>
        <w:pStyle w:val="ListParagraph"/>
        <w:numPr>
          <w:ilvl w:val="0"/>
          <w:numId w:val="2"/>
        </w:numPr>
        <w:spacing w:after="80" w:line="340"/>
      </w:pPr>
      <w:r>
        <w:rPr>
          <w:rFonts w:ascii="Arial" w:cs="Arial" w:eastAsia="Arial" w:hAnsi="Arial"/>
          <w:sz w:val="22"/>
          <w:szCs w:val="22"/>
        </w:rPr>
        <w:t xml:space="preserve">For stored procedures: verifies the conversion addresses all known issues and the agent provides the converted SQL</w:t>
      </w:r>
    </w:p>
    <w:p>
      <w:pPr>
        <w:pStyle w:val="ListParagraph"/>
        <w:numPr>
          <w:ilvl w:val="0"/>
          <w:numId w:val="2"/>
        </w:numPr>
        <w:spacing w:after="80" w:line="340"/>
      </w:pPr>
      <w:r>
        <w:rPr>
          <w:rFonts w:ascii="Arial" w:cs="Arial" w:eastAsia="Arial" w:hAnsi="Arial"/>
          <w:sz w:val="22"/>
          <w:szCs w:val="22"/>
        </w:rPr>
        <w:t xml:space="preserve">Escalations (complex cases) are flagged for human developer review</w:t>
      </w:r>
    </w:p>
    <w:p>
      <w:pPr>
        <w:pStyle w:val="ListParagraph"/>
        <w:numPr>
          <w:ilvl w:val="0"/>
          <w:numId w:val="2"/>
        </w:numPr>
        <w:spacing w:after="80" w:line="340"/>
      </w:pPr>
      <w:r>
        <w:rPr>
          <w:rFonts w:ascii="Arial" w:cs="Arial" w:eastAsia="Arial" w:hAnsi="Arial"/>
          <w:sz w:val="22"/>
          <w:szCs w:val="22"/>
        </w:rPr>
        <w:t xml:space="preserve">Successfully validated conversions are closed and the converted SQL is committed to the code repository</w:t>
      </w:r>
    </w:p>
    <w:p>
      <w:pPr>
        <w:spacing w:after="80"/>
      </w:pPr>
    </w:p>
    <w:p>
      <w:pPr>
        <w:pStyle w:val="Heading2"/>
        <w:spacing w:before="280" w:after="160"/>
      </w:pPr>
      <w:r>
        <w:rPr>
          <w:rFonts w:ascii="Arial" w:cs="Arial" w:eastAsia="Arial" w:hAnsi="Arial"/>
        </w:rPr>
        <w:t xml:space="preserve">Phase 5: Pattern Enrichment</w:t>
      </w:r>
    </w:p>
    <w:p>
      <w:pPr>
        <w:spacing w:after="160" w:line="340"/>
      </w:pPr>
      <w:r>
        <w:rPr>
          <w:rFonts w:ascii="Arial" w:cs="Arial" w:eastAsia="Arial" w:hAnsi="Arial"/>
          <w:sz w:val="22"/>
          <w:szCs w:val="22"/>
        </w:rPr>
        <w:t xml:space="preserve">As agents work through conversions, new patterns are discovered and documented:</w:t>
      </w:r>
    </w:p>
    <w:p>
      <w:pPr>
        <w:pStyle w:val="ListParagraph"/>
        <w:numPr>
          <w:ilvl w:val="0"/>
          <w:numId w:val="2"/>
        </w:numPr>
        <w:spacing w:after="80" w:line="340"/>
      </w:pPr>
      <w:r>
        <w:rPr>
          <w:rFonts w:ascii="Arial" w:cs="Arial" w:eastAsia="Arial" w:hAnsi="Arial"/>
          <w:sz w:val="22"/>
          <w:szCs w:val="22"/>
        </w:rPr>
        <w:t xml:space="preserve">Every deviation from the existing patterns guide is recorded in the completion report</w:t>
      </w:r>
    </w:p>
    <w:p>
      <w:pPr>
        <w:pStyle w:val="ListParagraph"/>
        <w:numPr>
          <w:ilvl w:val="0"/>
          <w:numId w:val="2"/>
        </w:numPr>
        <w:spacing w:after="80" w:line="340"/>
      </w:pPr>
      <w:r>
        <w:rPr>
          <w:rFonts w:ascii="Arial" w:cs="Arial" w:eastAsia="Arial" w:hAnsi="Arial"/>
          <w:sz w:val="22"/>
          <w:szCs w:val="22"/>
        </w:rPr>
        <w:t xml:space="preserve">The PM agent adds new patterns to the conversion patterns guide in the worklog</w:t>
      </w:r>
    </w:p>
    <w:p>
      <w:pPr>
        <w:pStyle w:val="ListParagraph"/>
        <w:numPr>
          <w:ilvl w:val="0"/>
          <w:numId w:val="2"/>
        </w:numPr>
        <w:spacing w:after="80" w:line="340"/>
      </w:pPr>
      <w:r>
        <w:rPr>
          <w:rFonts w:ascii="Arial" w:cs="Arial" w:eastAsia="Arial" w:hAnsi="Arial"/>
          <w:sz w:val="22"/>
          <w:szCs w:val="22"/>
        </w:rPr>
        <w:t xml:space="preserve">Subsequent agents benefit from the enriched guide — the system improves with each conversion</w:t>
      </w:r>
    </w:p>
    <w:p>
      <w:pPr>
        <w:pStyle w:val="ListParagraph"/>
        <w:numPr>
          <w:ilvl w:val="0"/>
          <w:numId w:val="2"/>
        </w:numPr>
        <w:spacing w:after="80" w:line="340"/>
      </w:pPr>
      <w:r>
        <w:rPr>
          <w:rFonts w:ascii="Arial" w:cs="Arial" w:eastAsia="Arial" w:hAnsi="Arial"/>
          <w:sz w:val="22"/>
          <w:szCs w:val="22"/>
        </w:rPr>
        <w:t xml:space="preserve">After the first 20–30 conversions, the patterns guide covers most cases and conversion speed increases significantly</w:t>
      </w:r>
    </w:p>
    <w:p>
      <w:r>
        <w:br w:type="page"/>
      </w:r>
    </w:p>
    <w:p>
      <w:pPr>
        <w:pStyle w:val="Heading1"/>
        <w:spacing w:before="360" w:after="200"/>
      </w:pPr>
      <w:r>
        <w:rPr>
          <w:rFonts w:ascii="Arial" w:cs="Arial" w:eastAsia="Arial" w:hAnsi="Arial"/>
        </w:rPr>
        <w:t xml:space="preserve">Conversion Story Template</w:t>
      </w:r>
    </w:p>
    <w:p>
      <w:pPr>
        <w:spacing w:after="160" w:line="340"/>
      </w:pPr>
      <w:r>
        <w:rPr>
          <w:rFonts w:ascii="Arial" w:cs="Arial" w:eastAsia="Arial" w:hAnsi="Arial"/>
          <w:sz w:val="22"/>
          <w:szCs w:val="22"/>
        </w:rPr>
        <w:t xml:space="preserve">Each problem query or procedure becomes a story with this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CONV-XXX (sequential numbering)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name, schema, object name (query or procedure)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Medium / High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SSMA 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SSMA produced (partial conversion, error, or skipped)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Known Issues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ASE constructs identified (@@error, cursors, etc.)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SQL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original ASE SQL (full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result: row count, checksum, sample rows, execution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Converted SQL compiles on MS SQL; produces identical output; specific patterns addressed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Connection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database environment for validation</w:t>
            </w:r>
          </w:p>
        </w:tc>
      </w:tr>
    </w:tbl>
    <w:p>
      <w:r>
        <w:br w:type="page"/>
      </w:r>
    </w:p>
    <w:p>
      <w:pPr>
        <w:pStyle w:val="Heading1"/>
        <w:spacing w:before="360" w:after="200"/>
      </w:pPr>
      <w:r>
        <w:rPr>
          <w:rFonts w:ascii="Arial" w:cs="Arial" w:eastAsia="Arial" w:hAnsi="Arial"/>
        </w:rPr>
        <w:t xml:space="preserve">MCP Server Configuration</w:t>
      </w:r>
    </w:p>
    <w:p>
      <w:pPr>
        <w:pStyle w:val="Heading2"/>
        <w:spacing w:before="280" w:after="160"/>
      </w:pPr>
      <w:r>
        <w:rPr>
          <w:rFonts w:ascii="Arial" w:cs="Arial" w:eastAsia="Arial" w:hAnsi="Arial"/>
        </w:rPr>
        <w:t xml:space="preserve">mssql-mcp-reader Setup</w:t>
      </w:r>
    </w:p>
    <w:p>
      <w:pPr>
        <w:spacing w:after="160" w:line="340"/>
      </w:pPr>
      <w:r>
        <w:rPr>
          <w:rFonts w:ascii="Arial" w:cs="Arial" w:eastAsia="Arial" w:hAnsi="Arial"/>
          <w:sz w:val="22"/>
          <w:szCs w:val="22"/>
        </w:rPr>
        <w:t xml:space="preserve">The read-only MCP server is configured per worker pod via environment variables. Each worker pod receives credentials for the MS SQL test instance (never production) via Kubernetes Secrets.</w:t>
      </w:r>
    </w:p>
    <w:p>
      <w:pPr>
        <w:spacing w:after="80"/>
      </w:pPr>
    </w:p>
    <w:p>
      <w:pPr>
        <w:shd w:fill="F5F5F5" w:val="clear"/>
        <w:spacing w:after="120"/>
      </w:pPr>
      <w:r>
        <w:rPr>
          <w:rFonts w:ascii="Courier New" w:cs="Courier New" w:eastAsia="Courier New" w:hAnsi="Courier New"/>
          <w:sz w:val="18"/>
          <w:szCs w:val="18"/>
        </w:rPr>
        <w:t xml:space="preserve">{ "mcpServers": { "mssql": { "command": "npx", "args": ["@connorbritain/mssql-mcp-reader@latest"], "env": { "SERVER_NAME": "mssql-test.internal", "DATABASE_NAME": "migration_target", "SQL_AUTH_MODE": "sql", "SQL_USERNAME": "${secret:MSSQL_USER}", "SQL_PASSWORD": "${secret:MSSQL_PASSWORD}" } } } }</w:t>
      </w:r>
    </w:p>
    <w:p>
      <w:pPr>
        <w:spacing w:after="80"/>
      </w:pPr>
    </w:p>
    <w:p>
      <w:pPr>
        <w:pStyle w:val="Heading2"/>
        <w:spacing w:before="280" w:after="160"/>
      </w:pPr>
      <w:r>
        <w:rPr>
          <w:rFonts w:ascii="Arial" w:cs="Arial" w:eastAsia="Arial" w:hAnsi="Arial"/>
        </w:rPr>
        <w:t xml:space="preserve">Governance Policies</w:t>
      </w:r>
    </w:p>
    <w:p>
      <w:pPr>
        <w:spacing w:after="160" w:line="340"/>
      </w:pPr>
      <w:r>
        <w:rPr>
          <w:rFonts w:ascii="Arial" w:cs="Arial" w:eastAsia="Arial" w:hAnsi="Arial"/>
          <w:sz w:val="22"/>
          <w:szCs w:val="22"/>
        </w:rPr>
        <w:t xml:space="preserve">The MCP server is configured with strict governance:</w:t>
      </w:r>
    </w:p>
    <w:p>
      <w:pPr>
        <w:pStyle w:val="ListParagraph"/>
        <w:numPr>
          <w:ilvl w:val="0"/>
          <w:numId w:val="2"/>
        </w:numPr>
        <w:spacing w:after="80" w:line="340"/>
      </w:pPr>
      <w:r>
        <w:rPr>
          <w:rFonts w:ascii="Arial" w:cs="Arial" w:eastAsia="Arial" w:hAnsi="Arial"/>
          <w:sz w:val="22"/>
          <w:szCs w:val="22"/>
        </w:rPr>
        <w:t xml:space="preserve">allowedTools: schema inspection, query execution (SELECT only)</w:t>
      </w:r>
    </w:p>
    <w:p>
      <w:pPr>
        <w:pStyle w:val="ListParagraph"/>
        <w:numPr>
          <w:ilvl w:val="0"/>
          <w:numId w:val="2"/>
        </w:numPr>
        <w:spacing w:after="80" w:line="340"/>
      </w:pPr>
      <w:r>
        <w:rPr>
          <w:rFonts w:ascii="Arial" w:cs="Arial" w:eastAsia="Arial" w:hAnsi="Arial"/>
          <w:sz w:val="22"/>
          <w:szCs w:val="22"/>
        </w:rPr>
        <w:t xml:space="preserve">deniedTools: any DDL operations, INSERT, UPDATE, DELETE</w:t>
      </w:r>
    </w:p>
    <w:p>
      <w:pPr>
        <w:pStyle w:val="ListParagraph"/>
        <w:numPr>
          <w:ilvl w:val="0"/>
          <w:numId w:val="2"/>
        </w:numPr>
        <w:spacing w:after="80" w:line="340"/>
      </w:pPr>
      <w:r>
        <w:rPr>
          <w:rFonts w:ascii="Arial" w:cs="Arial" w:eastAsia="Arial" w:hAnsi="Arial"/>
          <w:sz w:val="22"/>
          <w:szCs w:val="22"/>
        </w:rPr>
        <w:t xml:space="preserve">allowedSchemas: only the schemas relevant to the migration</w:t>
      </w:r>
    </w:p>
    <w:p>
      <w:pPr>
        <w:pStyle w:val="ListParagraph"/>
        <w:numPr>
          <w:ilvl w:val="0"/>
          <w:numId w:val="2"/>
        </w:numPr>
        <w:spacing w:after="80" w:line="340"/>
      </w:pPr>
      <w:r>
        <w:rPr>
          <w:rFonts w:ascii="Arial" w:cs="Arial" w:eastAsia="Arial" w:hAnsi="Arial"/>
          <w:sz w:val="22"/>
          <w:szCs w:val="22"/>
        </w:rPr>
        <w:t xml:space="preserve">Audit logging enabled — every query executed by an agent is recorded with session ID and timestamp</w:t>
      </w:r>
    </w:p>
    <w:p>
      <w:pPr>
        <w:pStyle w:val="ListParagraph"/>
        <w:numPr>
          <w:ilvl w:val="0"/>
          <w:numId w:val="2"/>
        </w:numPr>
        <w:spacing w:after="80" w:line="340"/>
      </w:pPr>
      <w:r>
        <w:rPr>
          <w:rFonts w:ascii="Arial" w:cs="Arial" w:eastAsia="Arial" w:hAnsi="Arial"/>
          <w:sz w:val="22"/>
          <w:szCs w:val="22"/>
        </w:rPr>
        <w:t xml:space="preserve">requireApproval: enabled for any query touching production environments (should not be reachable, belt and braces)</w:t>
      </w:r>
    </w:p>
    <w:p>
      <w:r>
        <w:br w:type="page"/>
      </w:r>
    </w:p>
    <w:p>
      <w:pPr>
        <w:pStyle w:val="Heading1"/>
        <w:spacing w:before="360" w:after="200"/>
      </w:pPr>
      <w:r>
        <w:rPr>
          <w:rFonts w:ascii="Arial" w:cs="Arial" w:eastAsia="Arial" w:hAnsi="Arial"/>
        </w:rPr>
        <w:t xml:space="preserve">Conversion Patterns Guide (Initial)</w:t>
      </w:r>
    </w:p>
    <w:p>
      <w:pPr>
        <w:spacing w:after="160" w:line="340"/>
      </w:pPr>
      <w:r>
        <w:rPr>
          <w:rFonts w:ascii="Arial" w:cs="Arial" w:eastAsia="Arial" w:hAnsi="Arial"/>
          <w:sz w:val="22"/>
          <w:szCs w:val="22"/>
        </w:rPr>
        <w:t xml:space="preserve">This is the seed version of the patterns guide. It lives in the worklog repository and is enriched by agents as they work through conversions. Worker agents read this guide before starting any conversion.</w:t>
      </w:r>
    </w:p>
    <w:p>
      <w:pPr>
        <w:spacing w:after="80"/>
      </w:pPr>
    </w:p>
    <w:p>
      <w:pPr>
        <w:pStyle w:val="Heading2"/>
        <w:spacing w:before="280" w:after="160"/>
      </w:pPr>
      <w:r>
        <w:rPr>
          <w:rFonts w:ascii="Arial" w:cs="Arial" w:eastAsia="Arial" w:hAnsi="Arial"/>
        </w:rPr>
        <w:t xml:space="preserve">Error Handling: @@error to TRY/CATCH</w:t>
      </w:r>
    </w:p>
    <w:p>
      <w:pPr>
        <w:spacing w:after="160" w:line="340"/>
      </w:pPr>
      <w:r>
        <w:rPr>
          <w:rFonts w:ascii="Arial" w:cs="Arial" w:eastAsia="Arial" w:hAnsi="Arial"/>
          <w:b/>
          <w:bCs/>
          <w:sz w:val="22"/>
          <w:szCs w:val="22"/>
        </w:rPr>
        <w:t xml:space="preserve">ASE pattern:</w:t>
      </w:r>
    </w:p>
    <w:p>
      <w:pPr>
        <w:shd w:fill="F5F5F5" w:val="clear"/>
        <w:spacing w:after="120"/>
      </w:pPr>
      <w:r>
        <w:rPr>
          <w:rFonts w:ascii="Courier New" w:cs="Courier New" w:eastAsia="Courier New" w:hAnsi="Courier New"/>
          <w:sz w:val="18"/>
          <w:szCs w:val="18"/>
        </w:rPr>
        <w:t xml:space="preserve">INSERT INTO orders (...)  SELECT ...  IF @@error &lt;&gt; 0 BEGIN  RAISERROR 50001 'Insert failed'  RETURN 1  END</w:t>
      </w:r>
    </w:p>
    <w:p>
      <w:pPr>
        <w:spacing w:after="160" w:line="340"/>
      </w:pPr>
      <w:r>
        <w:rPr>
          <w:rFonts w:ascii="Arial" w:cs="Arial" w:eastAsia="Arial" w:hAnsi="Arial"/>
          <w:b/>
          <w:bCs/>
          <w:sz w:val="22"/>
          <w:szCs w:val="22"/>
        </w:rPr>
        <w:t xml:space="preserve">MS SQL equivalent:</w:t>
      </w:r>
    </w:p>
    <w:p>
      <w:pPr>
        <w:shd w:fill="F5F5F5" w:val="clear"/>
        <w:spacing w:after="120"/>
      </w:pPr>
      <w:r>
        <w:rPr>
          <w:rFonts w:ascii="Courier New" w:cs="Courier New" w:eastAsia="Courier New" w:hAnsi="Courier New"/>
          <w:sz w:val="18"/>
          <w:szCs w:val="18"/>
        </w:rPr>
        <w:t xml:space="preserve">BEGIN TRY  INSERT INTO orders (...)  SELECT ...  END TRY  BEGIN CATCH  THROW 50001, 'Insert failed', 1  END CATCH</w:t>
      </w:r>
    </w:p>
    <w:p>
      <w:pPr>
        <w:spacing w:after="160" w:line="340"/>
      </w:pPr>
      <w:r>
        <w:rPr>
          <w:rFonts w:ascii="Arial" w:cs="Arial" w:eastAsia="Arial" w:hAnsi="Arial"/>
          <w:i/>
          <w:iCs/>
          <w:color w:val="444444"/>
          <w:sz w:val="22"/>
          <w:szCs w:val="22"/>
        </w:rPr>
        <w:t xml:space="preserve">Note: THROW requires SQL Server 2012+. For older targets, use RAISERROR with MS SQL syntax.</w:t>
      </w:r>
    </w:p>
    <w:p>
      <w:pPr>
        <w:spacing w:after="80"/>
      </w:pPr>
    </w:p>
    <w:p>
      <w:pPr>
        <w:pStyle w:val="Heading2"/>
        <w:spacing w:before="280" w:after="160"/>
      </w:pPr>
      <w:r>
        <w:rPr>
          <w:rFonts w:ascii="Arial" w:cs="Arial" w:eastAsia="Arial" w:hAnsi="Arial"/>
        </w:rPr>
        <w:t xml:space="preserve">Row Limiting: SET ROWCOUNT to TOP</w:t>
      </w:r>
    </w:p>
    <w:p>
      <w:pPr>
        <w:spacing w:after="160" w:line="340"/>
      </w:pPr>
      <w:r>
        <w:rPr>
          <w:rFonts w:ascii="Arial" w:cs="Arial" w:eastAsia="Arial" w:hAnsi="Arial"/>
          <w:b/>
          <w:bCs/>
          <w:sz w:val="22"/>
          <w:szCs w:val="22"/>
        </w:rPr>
        <w:t xml:space="preserve">ASE pattern:</w:t>
      </w:r>
    </w:p>
    <w:p>
      <w:pPr>
        <w:shd w:fill="F5F5F5" w:val="clear"/>
        <w:spacing w:after="120"/>
      </w:pPr>
      <w:r>
        <w:rPr>
          <w:rFonts w:ascii="Courier New" w:cs="Courier New" w:eastAsia="Courier New" w:hAnsi="Courier New"/>
          <w:sz w:val="18"/>
          <w:szCs w:val="18"/>
        </w:rPr>
        <w:t xml:space="preserve">SET ROWCOUNT 1000  DELETE FROM staging_table WHERE processed = 1  SET ROWCOUNT 0</w:t>
      </w:r>
    </w:p>
    <w:p>
      <w:pPr>
        <w:spacing w:after="160" w:line="340"/>
      </w:pPr>
      <w:r>
        <w:rPr>
          <w:rFonts w:ascii="Arial" w:cs="Arial" w:eastAsia="Arial" w:hAnsi="Arial"/>
          <w:b/>
          <w:bCs/>
          <w:sz w:val="22"/>
          <w:szCs w:val="22"/>
        </w:rPr>
        <w:t xml:space="preserve">MS SQL equivalent:</w:t>
      </w:r>
    </w:p>
    <w:p>
      <w:pPr>
        <w:shd w:fill="F5F5F5" w:val="clear"/>
        <w:spacing w:after="120"/>
      </w:pPr>
      <w:r>
        <w:rPr>
          <w:rFonts w:ascii="Courier New" w:cs="Courier New" w:eastAsia="Courier New" w:hAnsi="Courier New"/>
          <w:sz w:val="18"/>
          <w:szCs w:val="18"/>
        </w:rPr>
        <w:t xml:space="preserve">DELETE TOP (1000) FROM staging_table WHERE processed = 1</w:t>
      </w:r>
    </w:p>
    <w:p>
      <w:pPr>
        <w:spacing w:after="160" w:line="340"/>
      </w:pPr>
      <w:r>
        <w:rPr>
          <w:rFonts w:ascii="Arial" w:cs="Arial" w:eastAsia="Arial" w:hAnsi="Arial"/>
          <w:i/>
          <w:iCs/>
          <w:color w:val="444444"/>
          <w:sz w:val="22"/>
          <w:szCs w:val="22"/>
        </w:rPr>
        <w:t xml:space="preserve">SET ROWCOUNT is deprecated in MS SQL for DELETE/UPDATE/INSERT. Always convert to TOP(n).</w:t>
      </w:r>
    </w:p>
    <w:p>
      <w:pPr>
        <w:spacing w:after="80"/>
      </w:pPr>
    </w:p>
    <w:p>
      <w:pPr>
        <w:pStyle w:val="Heading2"/>
        <w:spacing w:before="280" w:after="160"/>
      </w:pPr>
      <w:r>
        <w:rPr>
          <w:rFonts w:ascii="Arial" w:cs="Arial" w:eastAsia="Arial" w:hAnsi="Arial"/>
        </w:rPr>
        <w:t xml:space="preserve">Temporary Tables: Scope Differences</w:t>
      </w:r>
    </w:p>
    <w:p>
      <w:pPr>
        <w:spacing w:after="160" w:line="340"/>
      </w:pPr>
      <w:r>
        <w:rPr>
          <w:rFonts w:ascii="Arial" w:cs="Arial" w:eastAsia="Arial" w:hAnsi="Arial"/>
          <w:sz w:val="22"/>
          <w:szCs w:val="22"/>
        </w:rPr>
        <w:t xml:space="preserve">ASE and MS SQL both use #temp tables, but scope rules differ. In ASE, a #temp table created in a stored procedure is visible to called procedures. In MS SQL, this is also true, but lifetime and cleanup semantics can differ. Always verify #temp table visibility in nested procedure calls.</w:t>
      </w:r>
    </w:p>
    <w:p>
      <w:pPr>
        <w:spacing w:after="80"/>
      </w:pPr>
    </w:p>
    <w:p>
      <w:pPr>
        <w:pStyle w:val="Heading2"/>
        <w:spacing w:before="280" w:after="160"/>
      </w:pPr>
      <w:r>
        <w:rPr>
          <w:rFonts w:ascii="Arial" w:cs="Arial" w:eastAsia="Arial" w:hAnsi="Arial"/>
        </w:rPr>
        <w:t xml:space="preserve">String Functions</w:t>
      </w:r>
    </w:p>
    <w:p>
      <w:pPr>
        <w:spacing w:after="160" w:line="340"/>
      </w:pPr>
      <w:r>
        <w:rPr>
          <w:rFonts w:ascii="Arial" w:cs="Arial" w:eastAsia="Arial" w:hAnsi="Arial"/>
          <w:b/>
          <w:bCs/>
          <w:sz w:val="22"/>
          <w:szCs w:val="22"/>
        </w:rPr>
        <w:t xml:space="preserve">Key differences:</w:t>
      </w:r>
    </w:p>
    <w:p>
      <w:pPr>
        <w:pStyle w:val="ListParagraph"/>
        <w:numPr>
          <w:ilvl w:val="0"/>
          <w:numId w:val="2"/>
        </w:numPr>
        <w:spacing w:after="80" w:line="340"/>
      </w:pPr>
      <w:r>
        <w:rPr>
          <w:rFonts w:ascii="Arial" w:cs="Arial" w:eastAsia="Arial" w:hAnsi="Arial"/>
          <w:sz w:val="22"/>
          <w:szCs w:val="22"/>
        </w:rPr>
        <w:t xml:space="preserve">ASE CHAR_LENGTH() → MS SQL LEN()</w:t>
      </w:r>
    </w:p>
    <w:p>
      <w:pPr>
        <w:pStyle w:val="ListParagraph"/>
        <w:numPr>
          <w:ilvl w:val="0"/>
          <w:numId w:val="2"/>
        </w:numPr>
        <w:spacing w:after="80" w:line="340"/>
      </w:pPr>
      <w:r>
        <w:rPr>
          <w:rFonts w:ascii="Arial" w:cs="Arial" w:eastAsia="Arial" w:hAnsi="Arial"/>
          <w:sz w:val="22"/>
          <w:szCs w:val="22"/>
        </w:rPr>
        <w:t xml:space="preserve">ASE STR_REPLACE() → MS SQL REPLACE()</w:t>
      </w:r>
    </w:p>
    <w:p>
      <w:pPr>
        <w:pStyle w:val="ListParagraph"/>
        <w:numPr>
          <w:ilvl w:val="0"/>
          <w:numId w:val="2"/>
        </w:numPr>
        <w:spacing w:after="80" w:line="340"/>
      </w:pPr>
      <w:r>
        <w:rPr>
          <w:rFonts w:ascii="Arial" w:cs="Arial" w:eastAsia="Arial" w:hAnsi="Arial"/>
          <w:sz w:val="22"/>
          <w:szCs w:val="22"/>
        </w:rPr>
        <w:t xml:space="preserve">ASE SUBSTRING(str, start, length) → same in MS SQL (compatible)</w:t>
      </w:r>
    </w:p>
    <w:p>
      <w:pPr>
        <w:pStyle w:val="ListParagraph"/>
        <w:numPr>
          <w:ilvl w:val="0"/>
          <w:numId w:val="2"/>
        </w:numPr>
        <w:spacing w:after="80" w:line="340"/>
      </w:pPr>
      <w:r>
        <w:rPr>
          <w:rFonts w:ascii="Arial" w:cs="Arial" w:eastAsia="Arial" w:hAnsi="Arial"/>
          <w:sz w:val="22"/>
          <w:szCs w:val="22"/>
        </w:rPr>
        <w:t xml:space="preserve">ASE PATINDEX pattern syntax may differ — test case by case</w:t>
      </w:r>
    </w:p>
    <w:p>
      <w:pPr>
        <w:spacing w:after="80"/>
      </w:pPr>
    </w:p>
    <w:p>
      <w:pPr>
        <w:pStyle w:val="Heading2"/>
        <w:spacing w:before="280" w:after="160"/>
      </w:pPr>
      <w:r>
        <w:rPr>
          <w:rFonts w:ascii="Arial" w:cs="Arial" w:eastAsia="Arial" w:hAnsi="Arial"/>
        </w:rPr>
        <w:t xml:space="preserve">Date Functions</w:t>
      </w:r>
    </w:p>
    <w:p>
      <w:pPr>
        <w:pStyle w:val="ListParagraph"/>
        <w:numPr>
          <w:ilvl w:val="0"/>
          <w:numId w:val="2"/>
        </w:numPr>
        <w:spacing w:after="80" w:line="340"/>
      </w:pPr>
      <w:r>
        <w:rPr>
          <w:rFonts w:ascii="Arial" w:cs="Arial" w:eastAsia="Arial" w:hAnsi="Arial"/>
          <w:sz w:val="22"/>
          <w:szCs w:val="22"/>
        </w:rPr>
        <w:t xml:space="preserve">ASE GETDATE() → MS SQL GETDATE() (compatible)</w:t>
      </w:r>
    </w:p>
    <w:p>
      <w:pPr>
        <w:pStyle w:val="ListParagraph"/>
        <w:numPr>
          <w:ilvl w:val="0"/>
          <w:numId w:val="2"/>
        </w:numPr>
        <w:spacing w:after="80" w:line="340"/>
      </w:pPr>
      <w:r>
        <w:rPr>
          <w:rFonts w:ascii="Arial" w:cs="Arial" w:eastAsia="Arial" w:hAnsi="Arial"/>
          <w:sz w:val="22"/>
          <w:szCs w:val="22"/>
        </w:rPr>
        <w:t xml:space="preserve">ASE DATEADD / DATEDIFF / DATEPART → generally compatible, verify date part names</w:t>
      </w:r>
    </w:p>
    <w:p>
      <w:pPr>
        <w:pStyle w:val="ListParagraph"/>
        <w:numPr>
          <w:ilvl w:val="0"/>
          <w:numId w:val="2"/>
        </w:numPr>
        <w:spacing w:after="80" w:line="340"/>
      </w:pPr>
      <w:r>
        <w:rPr>
          <w:rFonts w:ascii="Arial" w:cs="Arial" w:eastAsia="Arial" w:hAnsi="Arial"/>
          <w:sz w:val="22"/>
          <w:szCs w:val="22"/>
        </w:rPr>
        <w:t xml:space="preserve">ASE CONVERT date styles: verify style codes match (most do, some ASE-specific codes differ)</w:t>
      </w:r>
    </w:p>
    <w:p>
      <w:pPr>
        <w:spacing w:after="80"/>
      </w:pPr>
    </w:p>
    <w:p>
      <w:pPr>
        <w:spacing w:after="160" w:line="340"/>
      </w:pPr>
      <w:r>
        <w:rPr>
          <w:rFonts w:ascii="Arial" w:cs="Arial" w:eastAsia="Arial" w:hAnsi="Arial"/>
          <w:sz w:val="22"/>
          <w:szCs w:val="22"/>
        </w:rPr>
        <w:t xml:space="preserve">This guide will grow as agents encounter and document new patterns. After 20–30 conversions, it typically covers 90%+ of encountered patterns.</w:t>
      </w:r>
    </w:p>
    <w:p>
      <w:r>
        <w:br w:type="page"/>
      </w:r>
    </w:p>
    <w:p>
      <w:pPr>
        <w:pStyle w:val="Heading1"/>
        <w:spacing w:before="360" w:after="200"/>
      </w:pPr>
      <w:r>
        <w:rPr>
          <w:rFonts w:ascii="Arial" w:cs="Arial" w:eastAsia="Arial" w:hAnsi="Arial"/>
        </w:rPr>
        <w:t xml:space="preserve">Parallelism and Throughput</w:t>
      </w:r>
    </w:p>
    <w:p>
      <w:pPr>
        <w:spacing w:after="160" w:line="340"/>
      </w:pPr>
      <w:r>
        <w:rPr>
          <w:rFonts w:ascii="Arial" w:cs="Arial" w:eastAsia="Arial" w:hAnsi="Arial"/>
          <w:sz w:val="22"/>
          <w:szCs w:val="22"/>
        </w:rPr>
        <w:t xml:space="preserve">Each conversion story is independent — there are no dependencies between converting one query and another. This makes the workload perfectly parallelisable:</w:t>
      </w:r>
    </w:p>
    <w:p>
      <w:pPr>
        <w:spacing w:after="80"/>
      </w:pPr>
    </w:p>
    <w:p>
      <w:pPr>
        <w:pStyle w:val="ListParagraph"/>
        <w:numPr>
          <w:ilvl w:val="0"/>
          <w:numId w:val="2"/>
        </w:numPr>
        <w:spacing w:after="80" w:line="340"/>
      </w:pPr>
      <w:r>
        <w:rPr>
          <w:rFonts w:ascii="Arial" w:cs="Arial" w:eastAsia="Arial" w:hAnsi="Arial"/>
          <w:sz w:val="22"/>
          <w:szCs w:val="22"/>
        </w:rPr>
        <w:t xml:space="preserve">5 concurrent worker pods can process 5 conversions simultaneously</w:t>
      </w:r>
    </w:p>
    <w:p>
      <w:pPr>
        <w:pStyle w:val="ListParagraph"/>
        <w:numPr>
          <w:ilvl w:val="0"/>
          <w:numId w:val="2"/>
        </w:numPr>
        <w:spacing w:after="80" w:line="340"/>
      </w:pPr>
      <w:r>
        <w:rPr>
          <w:rFonts w:ascii="Arial" w:cs="Arial" w:eastAsia="Arial" w:hAnsi="Arial"/>
          <w:sz w:val="22"/>
          <w:szCs w:val="22"/>
        </w:rPr>
        <w:t xml:space="preserve">Low-severity conversions (syntax swaps) complete in minutes</w:t>
      </w:r>
    </w:p>
    <w:p>
      <w:pPr>
        <w:pStyle w:val="ListParagraph"/>
        <w:numPr>
          <w:ilvl w:val="0"/>
          <w:numId w:val="2"/>
        </w:numPr>
        <w:spacing w:after="80" w:line="340"/>
      </w:pPr>
      <w:r>
        <w:rPr>
          <w:rFonts w:ascii="Arial" w:cs="Arial" w:eastAsia="Arial" w:hAnsi="Arial"/>
          <w:sz w:val="22"/>
          <w:szCs w:val="22"/>
        </w:rPr>
        <w:t xml:space="preserve">Medium-severity conversions (structural rewrites) complete in 15–30 minutes</w:t>
      </w:r>
    </w:p>
    <w:p>
      <w:pPr>
        <w:pStyle w:val="ListParagraph"/>
        <w:numPr>
          <w:ilvl w:val="0"/>
          <w:numId w:val="2"/>
        </w:numPr>
        <w:spacing w:after="80" w:line="340"/>
      </w:pPr>
      <w:r>
        <w:rPr>
          <w:rFonts w:ascii="Arial" w:cs="Arial" w:eastAsia="Arial" w:hAnsi="Arial"/>
          <w:sz w:val="22"/>
          <w:szCs w:val="22"/>
        </w:rPr>
        <w:t xml:space="preserve">High-severity conversions produce a first-pass in 30–60 minutes, then escalate for human review</w:t>
      </w:r>
    </w:p>
    <w:p>
      <w:pPr>
        <w:spacing w:after="80"/>
      </w:pPr>
    </w:p>
    <w:p>
      <w:pPr>
        <w:spacing w:after="160" w:line="340"/>
      </w:pPr>
      <w:r>
        <w:rPr>
          <w:rFonts w:ascii="Arial" w:cs="Arial" w:eastAsia="Arial" w:hAnsi="Arial"/>
          <w:sz w:val="22"/>
          <w:szCs w:val="22"/>
        </w:rPr>
        <w:t xml:space="preserve">With 5 concurrent workers and a mix of severities, TaskSquad can process approximately 30–50 conversions per day. A backlog of 200 problem jobs would be substantially complete within one to two weeks, with the complex cases flagged for human review throughout.</w:t>
      </w:r>
    </w:p>
    <w:p>
      <w:pPr>
        <w:spacing w:after="80"/>
      </w:pPr>
    </w:p>
    <w:p>
      <w:pPr>
        <w:pStyle w:val="Heading2"/>
        <w:spacing w:before="280" w:after="160"/>
      </w:pPr>
      <w:r>
        <w:rPr>
          <w:rFonts w:ascii="Arial" w:cs="Arial" w:eastAsia="Arial" w:hAnsi="Arial"/>
        </w:rPr>
        <w:t xml:space="preserve">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76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 agent pod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persistent pod, minimal resources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Polls worklog, dispatches, validates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Worker pods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concurrent (configurable)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Ephemeral, spin up per 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SQL test instance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of target schema with representative test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via MCP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Code 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subscription or API access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cost driver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Worklog 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repo with markdown files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storage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pod, serves monitoring UI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but recommended</w:t>
            </w:r>
          </w:p>
        </w:tc>
      </w:tr>
    </w:tbl>
    <w:p>
      <w:r>
        <w:br w:type="page"/>
      </w:r>
    </w:p>
    <w:p>
      <w:pPr>
        <w:pStyle w:val="Heading1"/>
        <w:spacing w:before="360" w:after="200"/>
      </w:pPr>
      <w:r>
        <w:rPr>
          <w:rFonts w:ascii="Arial" w:cs="Arial" w:eastAsia="Arial" w:hAnsi="Arial"/>
        </w:rPr>
        <w:t xml:space="preserve">Security Considerations</w:t>
      </w:r>
    </w:p>
    <w:p>
      <w:pPr>
        <w:pStyle w:val="ListParagraph"/>
        <w:numPr>
          <w:ilvl w:val="0"/>
          <w:numId w:val="2"/>
        </w:numPr>
        <w:spacing w:after="80" w:line="340"/>
      </w:pPr>
      <w:r>
        <w:rPr>
          <w:rFonts w:ascii="Arial" w:cs="Arial" w:eastAsia="Arial" w:hAnsi="Arial"/>
          <w:sz w:val="22"/>
          <w:szCs w:val="22"/>
        </w:rPr>
        <w:t xml:space="preserve">Worker agents have read-only access to the MS SQL target via MCP — they cannot modify the database</w:t>
      </w:r>
    </w:p>
    <w:p>
      <w:pPr>
        <w:pStyle w:val="ListParagraph"/>
        <w:numPr>
          <w:ilvl w:val="0"/>
          <w:numId w:val="2"/>
        </w:numPr>
        <w:spacing w:after="80" w:line="340"/>
      </w:pPr>
      <w:r>
        <w:rPr>
          <w:rFonts w:ascii="Arial" w:cs="Arial" w:eastAsia="Arial" w:hAnsi="Arial"/>
          <w:sz w:val="22"/>
          <w:szCs w:val="22"/>
        </w:rPr>
        <w:t xml:space="preserve">No database credentials in agent-accessible files — injected via K8s Secrets</w:t>
      </w:r>
    </w:p>
    <w:p>
      <w:pPr>
        <w:pStyle w:val="ListParagraph"/>
        <w:numPr>
          <w:ilvl w:val="0"/>
          <w:numId w:val="2"/>
        </w:numPr>
        <w:spacing w:after="80" w:line="340"/>
      </w:pPr>
      <w:r>
        <w:rPr>
          <w:rFonts w:ascii="Arial" w:cs="Arial" w:eastAsia="Arial" w:hAnsi="Arial"/>
          <w:sz w:val="22"/>
          <w:szCs w:val="22"/>
        </w:rPr>
        <w:t xml:space="preserve">MCP governance policies enforce schema restrictions and deny write operations</w:t>
      </w:r>
    </w:p>
    <w:p>
      <w:pPr>
        <w:pStyle w:val="ListParagraph"/>
        <w:numPr>
          <w:ilvl w:val="0"/>
          <w:numId w:val="2"/>
        </w:numPr>
        <w:spacing w:after="80" w:line="340"/>
      </w:pPr>
      <w:r>
        <w:rPr>
          <w:rFonts w:ascii="Arial" w:cs="Arial" w:eastAsia="Arial" w:hAnsi="Arial"/>
          <w:sz w:val="22"/>
          <w:szCs w:val="22"/>
        </w:rPr>
        <w:t xml:space="preserve">All agent database queries are audit-logged with session ID and timestamp</w:t>
      </w:r>
    </w:p>
    <w:p>
      <w:pPr>
        <w:pStyle w:val="ListParagraph"/>
        <w:numPr>
          <w:ilvl w:val="0"/>
          <w:numId w:val="2"/>
        </w:numPr>
        <w:spacing w:after="80" w:line="340"/>
      </w:pPr>
      <w:r>
        <w:rPr>
          <w:rFonts w:ascii="Arial" w:cs="Arial" w:eastAsia="Arial" w:hAnsi="Arial"/>
          <w:sz w:val="22"/>
          <w:szCs w:val="22"/>
        </w:rPr>
        <w:t xml:space="preserve">Converted SQL is committed to a code repository for human review before deployment</w:t>
      </w:r>
    </w:p>
    <w:p>
      <w:pPr>
        <w:pStyle w:val="ListParagraph"/>
        <w:numPr>
          <w:ilvl w:val="0"/>
          <w:numId w:val="2"/>
        </w:numPr>
        <w:spacing w:after="80" w:line="340"/>
      </w:pPr>
      <w:r>
        <w:rPr>
          <w:rFonts w:ascii="Arial" w:cs="Arial" w:eastAsia="Arial" w:hAnsi="Arial"/>
          <w:sz w:val="22"/>
          <w:szCs w:val="22"/>
        </w:rPr>
        <w:t xml:space="preserve">Production database access is never granted to agents — all validation runs against test instances</w:t>
      </w:r>
    </w:p>
    <w:p>
      <w:pPr>
        <w:pStyle w:val="ListParagraph"/>
        <w:numPr>
          <w:ilvl w:val="0"/>
          <w:numId w:val="2"/>
        </w:numPr>
        <w:spacing w:after="80" w:line="340"/>
      </w:pPr>
      <w:r>
        <w:rPr>
          <w:rFonts w:ascii="Arial" w:cs="Arial" w:eastAsia="Arial" w:hAnsi="Arial"/>
          <w:sz w:val="22"/>
          <w:szCs w:val="22"/>
        </w:rPr>
        <w:t xml:space="preserve">Observer interventions via the live monitor are logged for traceability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6600" w:sz="1"/>
              <w:left w:val="single" w:color="CC6600" w:sz="6"/>
              <w:bottom w:val="single" w:color="CC6600" w:sz="1"/>
              <w:right w:val="single" w:color="CC6600" w:sz="1"/>
            </w:tcBorders>
            <w:shd w:fill="FFF3E0" w:val="clear"/>
            <w:tcMar>
              <w:top w:type="dxa" w:w="120"/>
              <w:left w:type="dxa" w:w="200"/>
              <w:bottom w:type="dxa" w:w="120"/>
              <w:right w:type="dxa" w:w="200"/>
            </w:tcMar>
          </w:tcPr>
          <w:p>
            <w:r>
              <w:rPr>
                <w:rFonts w:ascii="Arial" w:cs="Arial" w:eastAsia="Arial" w:hAnsi="Arial"/>
                <w:sz w:val="22"/>
                <w:szCs w:val="22"/>
              </w:rPr>
              <w:t xml:space="preserve">Agents produce converted SQL files. They do not deploy them. All deployment to production environments follows the existing change management process with human approval.</w:t>
            </w:r>
          </w:p>
        </w:tc>
      </w:tr>
    </w:tbl>
    <w:p>
      <w:r>
        <w:br w:type="page"/>
      </w:r>
    </w:p>
    <w:p>
      <w:pPr>
        <w:pStyle w:val="Heading1"/>
        <w:spacing w:before="360" w:after="200"/>
      </w:pPr>
      <w:r>
        <w:rPr>
          <w:rFonts w:ascii="Arial" w:cs="Arial" w:eastAsia="Arial" w:hAnsi="Arial"/>
        </w:rPr>
        <w:t xml:space="preserve">Success Criteria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2B3A4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Low-severity conversions completed autonomously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90% closed without human intervention</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Medium-severity conversions with correct first-pass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70% correct on first attempt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High-severity conversions with useful first-pass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 reduce human effort by 50%+</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 set accuracy (all severities)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match against ASE baseline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patterns guide coverage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90% of patterns documented after first 30 conversions</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time per low-severity conversion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10 minutes (agent time)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time per medium-severity conversion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minutes (agent time)</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production database writes by agents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enforced via read-only MCP</w:t>
            </w:r>
          </w:p>
        </w:tc>
      </w:tr>
    </w:tbl>
    <w:p>
      <w:r>
        <w:br w:type="page"/>
      </w:r>
    </w:p>
    <w:p>
      <w:pPr>
        <w:pStyle w:val="Heading1"/>
        <w:spacing w:before="360" w:after="200"/>
      </w:pPr>
      <w:r>
        <w:rPr>
          <w:rFonts w:ascii="Arial" w:cs="Arial" w:eastAsia="Arial" w:hAnsi="Arial"/>
        </w:rPr>
        <w:t xml:space="preserve">Getting Started</w:t>
      </w:r>
    </w:p>
    <w:p>
      <w:pPr>
        <w:spacing w:after="160" w:line="340"/>
      </w:pPr>
      <w:r>
        <w:rPr>
          <w:rFonts w:ascii="Arial" w:cs="Arial" w:eastAsia="Arial" w:hAnsi="Arial"/>
          <w:sz w:val="22"/>
          <w:szCs w:val="22"/>
        </w:rPr>
        <w:t xml:space="preserve">Prerequisites: TaskSquad infrastructure deployed (PM agent, K8s worker pods, worklog repository, dashboard). See the TaskSquad Implementation Plan for setup instructions.</w:t>
      </w:r>
    </w:p>
    <w:p>
      <w:pPr>
        <w:spacing w:after="80"/>
      </w:pPr>
    </w:p>
    <w:p>
      <w:pPr>
        <w:pStyle w:val="ListParagraph"/>
        <w:numPr>
          <w:ilvl w:val="0"/>
          <w:numId w:val="4"/>
        </w:numPr>
        <w:spacing w:after="80" w:line="340"/>
      </w:pPr>
      <w:r>
        <w:rPr>
          <w:rFonts w:ascii="Arial" w:cs="Arial" w:eastAsia="Arial" w:hAnsi="Arial"/>
          <w:sz w:val="22"/>
          <w:szCs w:val="22"/>
        </w:rPr>
        <w:t xml:space="preserve">Install mssql-mcp-reader in the worker pod container image: npm install -g @connorbritain/mssql-mcp-reader</w:t>
      </w:r>
    </w:p>
    <w:p>
      <w:pPr>
        <w:pStyle w:val="ListParagraph"/>
        <w:numPr>
          <w:ilvl w:val="0"/>
          <w:numId w:val="4"/>
        </w:numPr>
        <w:spacing w:after="80" w:line="340"/>
      </w:pPr>
      <w:r>
        <w:rPr>
          <w:rFonts w:ascii="Arial" w:cs="Arial" w:eastAsia="Arial" w:hAnsi="Arial"/>
          <w:sz w:val="22"/>
          <w:szCs w:val="22"/>
        </w:rPr>
        <w:t xml:space="preserve">Configure MCP server connection to the MS SQL test instance with read-only credentials</w:t>
      </w:r>
    </w:p>
    <w:p>
      <w:pPr>
        <w:pStyle w:val="ListParagraph"/>
        <w:numPr>
          <w:ilvl w:val="0"/>
          <w:numId w:val="4"/>
        </w:numPr>
        <w:spacing w:after="80" w:line="340"/>
      </w:pPr>
      <w:r>
        <w:rPr>
          <w:rFonts w:ascii="Arial" w:cs="Arial" w:eastAsia="Arial" w:hAnsi="Arial"/>
          <w:sz w:val="22"/>
          <w:szCs w:val="22"/>
        </w:rPr>
        <w:t xml:space="preserve">Set up governance policies: deny write tools, restrict to migration schemas</w:t>
      </w:r>
    </w:p>
    <w:p>
      <w:pPr>
        <w:pStyle w:val="ListParagraph"/>
        <w:numPr>
          <w:ilvl w:val="0"/>
          <w:numId w:val="4"/>
        </w:numPr>
        <w:spacing w:after="80" w:line="340"/>
      </w:pPr>
      <w:r>
        <w:rPr>
          <w:rFonts w:ascii="Arial" w:cs="Arial" w:eastAsia="Arial" w:hAnsi="Arial"/>
          <w:sz w:val="22"/>
          <w:szCs w:val="22"/>
        </w:rPr>
        <w:t xml:space="preserve">Populate the initial conversion patterns guide in the worklog repository</w:t>
      </w:r>
    </w:p>
    <w:p>
      <w:pPr>
        <w:pStyle w:val="ListParagraph"/>
        <w:numPr>
          <w:ilvl w:val="0"/>
          <w:numId w:val="4"/>
        </w:numPr>
        <w:spacing w:after="80" w:line="340"/>
      </w:pPr>
      <w:r>
        <w:rPr>
          <w:rFonts w:ascii="Arial" w:cs="Arial" w:eastAsia="Arial" w:hAnsi="Arial"/>
          <w:sz w:val="22"/>
          <w:szCs w:val="22"/>
        </w:rPr>
        <w:t xml:space="preserve">Run SSMA bulk conversion and identify the problem jobs that need remediation</w:t>
      </w:r>
    </w:p>
    <w:p>
      <w:pPr>
        <w:pStyle w:val="ListParagraph"/>
        <w:numPr>
          <w:ilvl w:val="0"/>
          <w:numId w:val="4"/>
        </w:numPr>
        <w:spacing w:after="80" w:line="340"/>
      </w:pPr>
      <w:r>
        <w:rPr>
          <w:rFonts w:ascii="Arial" w:cs="Arial" w:eastAsia="Arial" w:hAnsi="Arial"/>
          <w:sz w:val="22"/>
          <w:szCs w:val="22"/>
        </w:rPr>
        <w:t xml:space="preserve">Create conversion stories in the backlog with source SQL, baselines, and severity</w:t>
      </w:r>
    </w:p>
    <w:p>
      <w:pPr>
        <w:pStyle w:val="ListParagraph"/>
        <w:numPr>
          <w:ilvl w:val="0"/>
          <w:numId w:val="4"/>
        </w:numPr>
        <w:spacing w:after="80" w:line="340"/>
      </w:pPr>
      <w:r>
        <w:rPr>
          <w:rFonts w:ascii="Arial" w:cs="Arial" w:eastAsia="Arial" w:hAnsi="Arial"/>
          <w:sz w:val="22"/>
          <w:szCs w:val="22"/>
        </w:rPr>
        <w:t xml:space="preserve">Start the PM agent — it will begin dispatching low-severity conversions first</w:t>
      </w:r>
    </w:p>
    <w:p>
      <w:pPr>
        <w:pStyle w:val="ListParagraph"/>
        <w:numPr>
          <w:ilvl w:val="0"/>
          <w:numId w:val="4"/>
        </w:numPr>
        <w:spacing w:after="80" w:line="340"/>
      </w:pPr>
      <w:r>
        <w:rPr>
          <w:rFonts w:ascii="Arial" w:cs="Arial" w:eastAsia="Arial" w:hAnsi="Arial"/>
          <w:sz w:val="22"/>
          <w:szCs w:val="22"/>
        </w:rPr>
        <w:t xml:space="preserve">Monitor progress via the dashboard and review escalations</w:t>
      </w:r>
    </w:p>
    <w:p>
      <w:pPr>
        <w:pStyle w:val="ListParagraph"/>
        <w:numPr>
          <w:ilvl w:val="0"/>
          <w:numId w:val="4"/>
        </w:numPr>
        <w:spacing w:after="80" w:line="340"/>
      </w:pPr>
      <w:r>
        <w:rPr>
          <w:rFonts w:ascii="Arial" w:cs="Arial" w:eastAsia="Arial" w:hAnsi="Arial"/>
          <w:sz w:val="22"/>
          <w:szCs w:val="22"/>
        </w:rPr>
        <w:t xml:space="preserve">Review and enrich the conversion patterns guide after the first batch of completions</w:t>
      </w:r>
    </w:p>
    <w:p>
      <w:pPr>
        <w:pStyle w:val="ListParagraph"/>
        <w:numPr>
          <w:ilvl w:val="0"/>
          <w:numId w:val="4"/>
        </w:numPr>
        <w:spacing w:after="80" w:line="340"/>
      </w:pPr>
      <w:r>
        <w:rPr>
          <w:rFonts w:ascii="Arial" w:cs="Arial" w:eastAsia="Arial" w:hAnsi="Arial"/>
          <w:sz w:val="22"/>
          <w:szCs w:val="22"/>
        </w:rPr>
        <w:t xml:space="preserve">Scale up concurrent workers as confidence in the process grows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TaskSquad — ASE to MS SQL Conversion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3A4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3A4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2026-03-20T01:27:52.712Z</dcterms:created>
  <dcterms:modified xsi:type="dcterms:W3CDTF">2026-03-20T01:27:52.713Z</dcterms:modified>
</cp:coreProperties>
</file>

<file path=docProps/custom.xml><?xml version="1.0" encoding="utf-8"?>
<Properties xmlns="http://schemas.openxmlformats.org/officeDocument/2006/custom-properties" xmlns:vt="http://schemas.openxmlformats.org/officeDocument/2006/docPropsVTypes"/>
</file>