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C9F3B" w14:textId="7944791B" w:rsidR="00DF0EB9" w:rsidRPr="00CC622A" w:rsidRDefault="00B0632F" w:rsidP="00CC622A">
      <w:pPr>
        <w:pStyle w:val="Titledocument"/>
      </w:pPr>
      <w:r w:rsidRPr="00B0632F">
        <w:t>Big Data Analytics in Medical Device Regulatory Compliance</w:t>
      </w:r>
    </w:p>
    <w:p w14:paraId="4DC9D512" w14:textId="1F3434F6" w:rsidR="00B0632F" w:rsidRDefault="00B0632F" w:rsidP="005B434B">
      <w:pPr>
        <w:pStyle w:val="Authors"/>
        <w:rPr>
          <w:rFonts w:eastAsiaTheme="minorEastAsia"/>
          <w:caps w:val="0"/>
        </w:rPr>
      </w:pPr>
      <w:r>
        <w:rPr>
          <w:rFonts w:eastAsiaTheme="minorEastAsia"/>
          <w:caps w:val="0"/>
        </w:rPr>
        <w:t>Leighton R. Williams</w:t>
      </w:r>
    </w:p>
    <w:p w14:paraId="4C88E8C0" w14:textId="56543501" w:rsidR="005B434B" w:rsidRPr="00E02C38" w:rsidRDefault="00B0632F" w:rsidP="005B434B">
      <w:pPr>
        <w:pStyle w:val="Affiliation"/>
        <w:rPr>
          <w:rFonts w:eastAsiaTheme="minorEastAsia"/>
        </w:rPr>
      </w:pPr>
      <w:r>
        <w:rPr>
          <w:rFonts w:eastAsiaTheme="minorEastAsia"/>
        </w:rPr>
        <w:t>University of Huddersfield, Huddersfield, UK</w:t>
      </w:r>
      <w:r w:rsidR="00547F6A">
        <w:rPr>
          <w:rFonts w:eastAsiaTheme="minorEastAsia"/>
        </w:rPr>
        <w:t xml:space="preserve">, </w:t>
      </w:r>
      <w:r>
        <w:rPr>
          <w:rFonts w:eastAsiaTheme="minorEastAsia"/>
        </w:rPr>
        <w:t>U2572822@unimail.hud.ac.uk</w:t>
      </w:r>
    </w:p>
    <w:p w14:paraId="3D7C9831" w14:textId="1C509846" w:rsidR="00CE6988" w:rsidRPr="00CE6988" w:rsidRDefault="00DF0EB9" w:rsidP="00CE6988">
      <w:pPr>
        <w:pStyle w:val="Abstract"/>
      </w:pPr>
      <w:r>
        <w:rPr>
          <w:b/>
          <w:bCs/>
        </w:rPr>
        <w:t xml:space="preserve">Abstract: </w:t>
      </w:r>
      <w:r w:rsidR="00CE6988" w:rsidRPr="00CE6988">
        <w:t xml:space="preserve">Big Data Analytics (BDA) has transformed industries by enabling insights from vast, complex </w:t>
      </w:r>
      <w:proofErr w:type="gramStart"/>
      <w:r w:rsidR="00CE6988" w:rsidRPr="00CE6988">
        <w:t>datasets</w:t>
      </w:r>
      <w:proofErr w:type="gramEnd"/>
      <w:r w:rsidR="00CE6988" w:rsidRPr="00CE6988">
        <w:t xml:space="preserve">. In the medical device sector, regulatory compliance under the EU Medical Device Regulation (MDR) demands rigorous evidence, post-market surveillance, and risk management (Khanra et al., 2020; Imran et al., 2021). </w:t>
      </w:r>
    </w:p>
    <w:p w14:paraId="1CF49CEF" w14:textId="77777777" w:rsidR="00CE6988" w:rsidRDefault="00CE6988" w:rsidP="00B0632F">
      <w:pPr>
        <w:pStyle w:val="Abstract"/>
      </w:pPr>
      <w:r w:rsidRPr="00CE6988">
        <w:t>This paper explores enabling technologies for BDA and its application in regulatory compliance, focusing on Notified Bodies’ role in conformity assessment. It critically evaluates technological frameworks, illustrates real-world use cases such as adverse event monitoring and clinical evidence analysis, and recommends future directions for integrating predictive analytics and AI-driven compliance tools.</w:t>
      </w:r>
    </w:p>
    <w:p w14:paraId="46B38891" w14:textId="7C690C11" w:rsidR="00A01C24" w:rsidRDefault="00A01C24" w:rsidP="00B0632F">
      <w:pPr>
        <w:pStyle w:val="Abstract"/>
      </w:pPr>
      <w:r>
        <w:t>CCS Concepts:</w:t>
      </w:r>
      <w:r w:rsidR="0033362D">
        <w:t xml:space="preserve"> </w:t>
      </w:r>
      <w:r w:rsidR="0033362D" w:rsidRPr="0033362D">
        <w:t>•</w:t>
      </w:r>
      <w:r>
        <w:t xml:space="preserve"> Information systems</w:t>
      </w:r>
      <w:r w:rsidR="001F5EC6">
        <w:t xml:space="preserve"> </w:t>
      </w:r>
      <w:r w:rsidR="001F5EC6" w:rsidRPr="001F5EC6">
        <w:t>•</w:t>
      </w:r>
      <w:r w:rsidR="001F5EC6">
        <w:t xml:space="preserve"> </w:t>
      </w:r>
      <w:r>
        <w:t>Data analytics</w:t>
      </w:r>
      <w:r w:rsidR="001F5EC6">
        <w:t xml:space="preserve"> </w:t>
      </w:r>
      <w:r w:rsidR="001F5EC6" w:rsidRPr="001F5EC6">
        <w:t>•</w:t>
      </w:r>
      <w:r w:rsidR="001F5EC6">
        <w:t xml:space="preserve"> </w:t>
      </w:r>
      <w:r>
        <w:t xml:space="preserve">Applied computing </w:t>
      </w:r>
      <w:r w:rsidR="001F5EC6" w:rsidRPr="001F5EC6">
        <w:t>•</w:t>
      </w:r>
      <w:r w:rsidR="001F5EC6">
        <w:t xml:space="preserve"> </w:t>
      </w:r>
      <w:r>
        <w:t>Health informatics</w:t>
      </w:r>
    </w:p>
    <w:p w14:paraId="12A02E2F" w14:textId="77777777" w:rsidR="00B24E72" w:rsidRDefault="00B24E72" w:rsidP="00B24E72">
      <w:pPr>
        <w:pStyle w:val="Abstract"/>
      </w:pPr>
      <w:r>
        <w:t>Keywords: Big Data Analytics, Medical Device Regulation, Post-Market Surveillance, Explainable AI</w:t>
      </w:r>
    </w:p>
    <w:p w14:paraId="1FDA6982" w14:textId="77777777" w:rsidR="005B434B" w:rsidRDefault="005B434B" w:rsidP="005B434B">
      <w:pPr>
        <w:pStyle w:val="Head1"/>
        <w:ind w:left="432" w:hanging="432"/>
      </w:pPr>
      <w:r>
        <w:t>Introduction</w:t>
      </w:r>
    </w:p>
    <w:p w14:paraId="1694ABFA" w14:textId="50C51ACE" w:rsidR="00CE6988" w:rsidRDefault="00CE6988" w:rsidP="001E44F1">
      <w:pPr>
        <w:pStyle w:val="Para"/>
      </w:pPr>
      <w:r w:rsidRPr="00ED4014">
        <w:t xml:space="preserve">Big Data refers to datasets </w:t>
      </w:r>
      <w:proofErr w:type="spellStart"/>
      <w:r w:rsidRPr="00ED4014">
        <w:t>characterised</w:t>
      </w:r>
      <w:proofErr w:type="spellEnd"/>
      <w:r w:rsidRPr="00ED4014">
        <w:t xml:space="preserve"> by high volume, velocity, and variety, which traditional data processing tools cannot efficiently manage (Shahnawaz </w:t>
      </w:r>
      <w:r>
        <w:t>&amp;</w:t>
      </w:r>
      <w:r w:rsidRPr="00ED4014">
        <w:t xml:space="preserve"> Kumar, 2025). </w:t>
      </w:r>
      <w:r>
        <w:t xml:space="preserve">Niazi (2024) explains how </w:t>
      </w:r>
      <w:r w:rsidRPr="00306158">
        <w:t>Big Data Analytics (BDA) encompasses advanced techniques and platforms that extract actionable insights from these datasets, leveraging distributed computing, machine learning, and cloud infrastructure.</w:t>
      </w:r>
    </w:p>
    <w:p w14:paraId="4F205FEE" w14:textId="77777777" w:rsidR="001E44F1" w:rsidRPr="001E44F1" w:rsidRDefault="001E44F1" w:rsidP="001E44F1">
      <w:pPr>
        <w:pStyle w:val="ParaContinue"/>
      </w:pPr>
    </w:p>
    <w:p w14:paraId="07824B08" w14:textId="4F82D038" w:rsidR="00CE6988" w:rsidRDefault="00CE6988" w:rsidP="00CE6988">
      <w:pPr>
        <w:pStyle w:val="Image"/>
      </w:pPr>
      <w:r w:rsidRPr="00CE6988">
        <w:rPr>
          <w:noProof/>
        </w:rPr>
        <w:drawing>
          <wp:inline distT="0" distB="0" distL="0" distR="0" wp14:anchorId="1553A7FF" wp14:editId="617CE9B6">
            <wp:extent cx="2447212" cy="2533650"/>
            <wp:effectExtent l="0" t="0" r="0" b="0"/>
            <wp:docPr id="625445970" name="Picture 1" descr="A diagram of a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45970" name="Picture 1" descr="A diagram of a data flow"/>
                    <pic:cNvPicPr/>
                  </pic:nvPicPr>
                  <pic:blipFill>
                    <a:blip r:embed="rId7"/>
                    <a:stretch>
                      <a:fillRect/>
                    </a:stretch>
                  </pic:blipFill>
                  <pic:spPr>
                    <a:xfrm>
                      <a:off x="0" y="0"/>
                      <a:ext cx="2456792" cy="2543569"/>
                    </a:xfrm>
                    <a:prstGeom prst="rect">
                      <a:avLst/>
                    </a:prstGeom>
                  </pic:spPr>
                </pic:pic>
              </a:graphicData>
            </a:graphic>
          </wp:inline>
        </w:drawing>
      </w:r>
    </w:p>
    <w:p w14:paraId="3013CBA8" w14:textId="77777777" w:rsidR="00CE6988" w:rsidRDefault="00CE6988" w:rsidP="001E44F1">
      <w:pPr>
        <w:pStyle w:val="FigureCaption"/>
      </w:pPr>
      <w:r w:rsidRPr="00D8285F">
        <w:t xml:space="preserve">Fig. 1. The important characteristics of Big Data (6 </w:t>
      </w:r>
      <w:proofErr w:type="gramStart"/>
      <w:r w:rsidRPr="00D8285F">
        <w:t>V’s</w:t>
      </w:r>
      <w:proofErr w:type="gramEnd"/>
      <w:r w:rsidRPr="00D8285F">
        <w:t>)</w:t>
      </w:r>
    </w:p>
    <w:p w14:paraId="1BEBAD00" w14:textId="492A40CC" w:rsidR="00CE6988" w:rsidRDefault="00CE6988" w:rsidP="001E44F1">
      <w:pPr>
        <w:pStyle w:val="FigureCaption"/>
      </w:pPr>
      <w:r w:rsidRPr="00D8285F">
        <w:t>Source: A Classification Model for Predicting Heart Failure in Cardiac Patients (Saqlain et al., 201</w:t>
      </w:r>
      <w:r w:rsidR="002B09AC">
        <w:t>6</w:t>
      </w:r>
      <w:r w:rsidRPr="00D8285F">
        <w:t>)</w:t>
      </w:r>
    </w:p>
    <w:p w14:paraId="32EE9591" w14:textId="77777777" w:rsidR="00CE6988" w:rsidRPr="00A314AF" w:rsidRDefault="00CE6988" w:rsidP="001E44F1">
      <w:pPr>
        <w:pStyle w:val="Para"/>
      </w:pPr>
    </w:p>
    <w:p w14:paraId="50BB62DA" w14:textId="698737F3" w:rsidR="00CE6988" w:rsidRDefault="00CE6988" w:rsidP="001E44F1">
      <w:pPr>
        <w:pStyle w:val="Para"/>
      </w:pPr>
      <w:r w:rsidRPr="00717566">
        <w:lastRenderedPageBreak/>
        <w:t xml:space="preserve">Healthcare generates enormous data volumes from electronic health records, clinical trials, and post-market surveillance (Khinvasara et al., 2024). </w:t>
      </w:r>
      <w:r w:rsidRPr="0030420C">
        <w:t xml:space="preserve">Regulatory compliance for medical devices under MDR adds complexity, requiring structured evidence, lifecycle monitoring, and transparent reporting (Savage, 2023). </w:t>
      </w:r>
      <w:r>
        <w:t xml:space="preserve">Indeed, Clemens (2018) </w:t>
      </w:r>
      <w:r w:rsidRPr="00D354E0">
        <w:t>explains how Notified Bodies (NBs), designated to assess conformity, face challenges in managing diverse data sources while ensuring impartiality and competence.</w:t>
      </w:r>
    </w:p>
    <w:p w14:paraId="69D37E5E" w14:textId="77777777" w:rsidR="00F1221E" w:rsidRDefault="00F1221E" w:rsidP="00F1221E">
      <w:pPr>
        <w:pStyle w:val="ParaContinue"/>
      </w:pPr>
    </w:p>
    <w:p w14:paraId="268E6D4E" w14:textId="77777777" w:rsidR="00F1221E" w:rsidRPr="00F1221E" w:rsidRDefault="00F1221E" w:rsidP="00F1221E">
      <w:pPr>
        <w:pStyle w:val="ParaContinue"/>
        <w:rPr>
          <w:lang w:val="en-GB"/>
        </w:rPr>
      </w:pPr>
      <w:r w:rsidRPr="00F1221E">
        <w:rPr>
          <w:lang w:val="en-GB"/>
        </w:rPr>
        <w:t>As a Global Quality &amp; Accreditation Administrator, I ensure our NB’s processes align with MDR Annex VII and ISO/IEC 17065, making the effective use of BDA central to my professional practice.</w:t>
      </w:r>
    </w:p>
    <w:p w14:paraId="7260225B" w14:textId="77777777" w:rsidR="001E44F1" w:rsidRPr="001E44F1" w:rsidRDefault="001E44F1" w:rsidP="001E44F1">
      <w:pPr>
        <w:pStyle w:val="ParaContinue"/>
      </w:pPr>
    </w:p>
    <w:p w14:paraId="1E2AAD1B" w14:textId="57275B37" w:rsidR="001E44F1" w:rsidRDefault="00CE6988" w:rsidP="001E44F1">
      <w:pPr>
        <w:pStyle w:val="Para"/>
      </w:pPr>
      <w:r w:rsidRPr="00193426">
        <w:t>This paper aims to examine the state of the art in BDA technologies and their application in MDR compliance. It reviews enabling technologies, explores practical use cases in regulatory processes, and provides recommendations for future adoption. The structure includes a technology review, application analysis, and conclusions on trends and opportunities.</w:t>
      </w:r>
    </w:p>
    <w:p w14:paraId="3B872A31" w14:textId="77777777" w:rsidR="001E44F1" w:rsidRPr="001E44F1" w:rsidRDefault="001E44F1" w:rsidP="001E44F1">
      <w:pPr>
        <w:pStyle w:val="Head1"/>
        <w:ind w:left="432" w:hanging="432"/>
      </w:pPr>
      <w:r w:rsidRPr="001E44F1">
        <w:t>Technology Review</w:t>
      </w:r>
    </w:p>
    <w:p w14:paraId="31D37791" w14:textId="10696F2A" w:rsidR="001E44F1" w:rsidRDefault="001E44F1" w:rsidP="00AB00F4">
      <w:pPr>
        <w:pStyle w:val="Head2"/>
      </w:pPr>
      <w:r w:rsidRPr="001E44F1">
        <w:t>Data Management Frameworks</w:t>
      </w:r>
    </w:p>
    <w:p w14:paraId="016225D0" w14:textId="77777777" w:rsidR="00AB00F4" w:rsidRPr="00AB00F4" w:rsidRDefault="00AB00F4" w:rsidP="00AB00F4">
      <w:pPr>
        <w:pStyle w:val="Para"/>
        <w:rPr>
          <w:lang w:eastAsia="en-US"/>
        </w:rPr>
      </w:pPr>
    </w:p>
    <w:p w14:paraId="3C98C47F" w14:textId="5E9330E8" w:rsidR="001E44F1" w:rsidRDefault="001E44F1" w:rsidP="00E67272">
      <w:pPr>
        <w:pStyle w:val="Para"/>
        <w:rPr>
          <w:lang w:val="en-GB"/>
        </w:rPr>
      </w:pPr>
      <w:r w:rsidRPr="001E44F1">
        <w:t xml:space="preserve">Big Data platforms such as Apache Hadoop and Apache Spark enable distributed storage and parallel processing of large datasets (Omar &amp; </w:t>
      </w:r>
      <w:proofErr w:type="spellStart"/>
      <w:r w:rsidRPr="001E44F1">
        <w:t>Jumaa</w:t>
      </w:r>
      <w:proofErr w:type="spellEnd"/>
      <w:r w:rsidRPr="001E44F1">
        <w:t xml:space="preserve">, 2022). Hadoop’s HDFS supports scalable storage, while Spark offers in-memory computation for faster analytics. </w:t>
      </w:r>
      <w:r w:rsidR="00A47D1B" w:rsidRPr="00A47D1B">
        <w:rPr>
          <w:lang w:val="en-GB"/>
        </w:rPr>
        <w:t>These frameworks are critical for handling regulatory data, including clinical evaluations and PMS reports, which span diverse formats and require Big Data integration approaches already observed in healthcare (Imran et al., 2021; Khanra et al., 2020).</w:t>
      </w:r>
    </w:p>
    <w:p w14:paraId="2934C952" w14:textId="77777777" w:rsidR="00B601F5" w:rsidRPr="00B601F5" w:rsidRDefault="00B601F5" w:rsidP="00B601F5">
      <w:pPr>
        <w:pStyle w:val="ParaContinue"/>
        <w:rPr>
          <w:lang w:val="en-GB"/>
        </w:rPr>
      </w:pPr>
    </w:p>
    <w:p w14:paraId="46C50CAB" w14:textId="270C9750" w:rsidR="001E44F1" w:rsidRDefault="001E44F1" w:rsidP="001E44F1">
      <w:pPr>
        <w:pStyle w:val="Image"/>
      </w:pPr>
      <w:r w:rsidRPr="00685FAD">
        <w:rPr>
          <w:noProof/>
        </w:rPr>
        <w:drawing>
          <wp:inline distT="0" distB="0" distL="0" distR="0" wp14:anchorId="29158E3D" wp14:editId="37F9C380">
            <wp:extent cx="4191000" cy="2405803"/>
            <wp:effectExtent l="0" t="0" r="0" b="0"/>
            <wp:docPr id="1108209488" name="Picture 1" descr="A diagram of a computer work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09488" name="Picture 1" descr="A diagram of a computer work flow"/>
                    <pic:cNvPicPr/>
                  </pic:nvPicPr>
                  <pic:blipFill>
                    <a:blip r:embed="rId8"/>
                    <a:stretch>
                      <a:fillRect/>
                    </a:stretch>
                  </pic:blipFill>
                  <pic:spPr>
                    <a:xfrm>
                      <a:off x="0" y="0"/>
                      <a:ext cx="4216011" cy="2420161"/>
                    </a:xfrm>
                    <a:prstGeom prst="rect">
                      <a:avLst/>
                    </a:prstGeom>
                  </pic:spPr>
                </pic:pic>
              </a:graphicData>
            </a:graphic>
          </wp:inline>
        </w:drawing>
      </w:r>
    </w:p>
    <w:p w14:paraId="7EE338F9" w14:textId="77777777" w:rsidR="001E44F1" w:rsidRPr="001E44F1" w:rsidRDefault="001E44F1" w:rsidP="001E44F1">
      <w:pPr>
        <w:pStyle w:val="FigureCaption"/>
      </w:pPr>
      <w:r w:rsidRPr="001E44F1">
        <w:t>Fig. 2. Spark Framework vs Hadoop Framework</w:t>
      </w:r>
    </w:p>
    <w:p w14:paraId="6E0D97DF" w14:textId="77777777" w:rsidR="001E44F1" w:rsidRPr="001E44F1" w:rsidRDefault="001E44F1" w:rsidP="001E44F1">
      <w:pPr>
        <w:pStyle w:val="FigureCaption"/>
      </w:pPr>
      <w:r w:rsidRPr="001E44F1">
        <w:t>Source: Big Data 2.0 Processing Systems: Taxonomy and Open Challenges (</w:t>
      </w:r>
      <w:proofErr w:type="spellStart"/>
      <w:r w:rsidRPr="001E44F1">
        <w:t>Bajaber</w:t>
      </w:r>
      <w:proofErr w:type="spellEnd"/>
      <w:r w:rsidRPr="001E44F1">
        <w:t xml:space="preserve"> et al., 2017)</w:t>
      </w:r>
    </w:p>
    <w:p w14:paraId="3001AA17" w14:textId="77777777" w:rsidR="00A47D1B" w:rsidRDefault="00A47D1B" w:rsidP="00B0632F">
      <w:pPr>
        <w:pStyle w:val="Para"/>
      </w:pPr>
    </w:p>
    <w:p w14:paraId="45AE09A6" w14:textId="77777777" w:rsidR="009B3115" w:rsidRPr="009B3115" w:rsidRDefault="001E44F1" w:rsidP="009B3115">
      <w:pPr>
        <w:pStyle w:val="Para"/>
        <w:rPr>
          <w:lang w:val="en-GB"/>
        </w:rPr>
      </w:pPr>
      <w:r w:rsidRPr="001E44F1">
        <w:lastRenderedPageBreak/>
        <w:t>NoSQL databases (e.g., MongoDB, Cassandra) provide flexibility for semi-structured data, such as adverse event narratives and vigilance reports (</w:t>
      </w:r>
      <w:proofErr w:type="spellStart"/>
      <w:r w:rsidRPr="001E44F1">
        <w:t>Khoshroudi</w:t>
      </w:r>
      <w:proofErr w:type="spellEnd"/>
      <w:r w:rsidRPr="001E44F1">
        <w:t xml:space="preserve"> et al., 2025). </w:t>
      </w:r>
      <w:r w:rsidR="009B3115" w:rsidRPr="009B3115">
        <w:rPr>
          <w:lang w:val="en-GB"/>
        </w:rPr>
        <w:t>Their schema</w:t>
      </w:r>
      <w:r w:rsidR="009B3115" w:rsidRPr="009B3115">
        <w:rPr>
          <w:lang w:val="en-GB"/>
        </w:rPr>
        <w:noBreakHyphen/>
        <w:t>less design accommodates evolving MDR documentation requirements, supporting flexible vigilance and PMS data integration (Savage, 2023; Clemens, 2018).</w:t>
      </w:r>
    </w:p>
    <w:p w14:paraId="01CDF560" w14:textId="50B1C0B6" w:rsidR="001E44F1" w:rsidRDefault="001E44F1" w:rsidP="0051030D">
      <w:pPr>
        <w:pStyle w:val="Head2"/>
      </w:pPr>
      <w:r w:rsidRPr="001E44F1">
        <w:t>Cloud Computing Platforms</w:t>
      </w:r>
    </w:p>
    <w:p w14:paraId="41F6BF76" w14:textId="77777777" w:rsidR="0051030D" w:rsidRPr="0051030D" w:rsidRDefault="0051030D" w:rsidP="0051030D">
      <w:pPr>
        <w:pStyle w:val="Para"/>
        <w:rPr>
          <w:lang w:eastAsia="en-US"/>
        </w:rPr>
      </w:pPr>
    </w:p>
    <w:p w14:paraId="474FAD6E" w14:textId="16042A09" w:rsidR="001E44F1" w:rsidRPr="00EF7C84" w:rsidRDefault="0051030D" w:rsidP="00EF7C84">
      <w:pPr>
        <w:pStyle w:val="Para"/>
        <w:rPr>
          <w:lang w:val="en-GB"/>
        </w:rPr>
      </w:pPr>
      <w:r w:rsidRPr="0051030D">
        <w:t>Cloud services like AWS, Microsoft Azure, and Google Cloud Platform deliver elastic resources for storing and analysing compliance data, though cost and GDPR compliance remain significant challenges (</w:t>
      </w:r>
      <w:proofErr w:type="spellStart"/>
      <w:r w:rsidRPr="0051030D">
        <w:t>Thallam</w:t>
      </w:r>
      <w:proofErr w:type="spellEnd"/>
      <w:r w:rsidRPr="0051030D">
        <w:t xml:space="preserve">, 2023; Surabhi, 2025). They support secure environments with encryption and access controls, essential for GDPR compliance </w:t>
      </w:r>
      <w:r w:rsidR="00EF7C84" w:rsidRPr="00EF7C84">
        <w:rPr>
          <w:lang w:val="en-GB"/>
        </w:rPr>
        <w:t>(Savage, 2023; Imran et al., 2021)</w:t>
      </w:r>
      <w:r w:rsidRPr="0051030D">
        <w:t>. Cloud-native analytics tools (e.g., AWS EMR, Azure Synapse) integrate machine learning pipelines for predictive risk modelling (Shah &amp; Konda, 2025).</w:t>
      </w:r>
    </w:p>
    <w:p w14:paraId="6724CC78" w14:textId="19166E5E" w:rsidR="0051030D" w:rsidRDefault="0051030D" w:rsidP="0051030D">
      <w:pPr>
        <w:pStyle w:val="Head2"/>
      </w:pPr>
      <w:r w:rsidRPr="0051030D">
        <w:t>Analytics Techniques</w:t>
      </w:r>
    </w:p>
    <w:p w14:paraId="01921186" w14:textId="77777777" w:rsidR="0051030D" w:rsidRPr="0051030D" w:rsidRDefault="0051030D" w:rsidP="0051030D">
      <w:pPr>
        <w:pStyle w:val="Para"/>
        <w:rPr>
          <w:lang w:eastAsia="en-US"/>
        </w:rPr>
      </w:pPr>
    </w:p>
    <w:p w14:paraId="09C504B1" w14:textId="5CB27630" w:rsidR="0051030D" w:rsidRPr="002065FE" w:rsidRDefault="0051030D" w:rsidP="002065FE">
      <w:pPr>
        <w:pStyle w:val="Para"/>
        <w:rPr>
          <w:lang w:val="en-GB"/>
        </w:rPr>
      </w:pPr>
      <w:r w:rsidRPr="0051030D">
        <w:t>Machine Learning (ML) algorithms underpin predictive analytics for device performance and risk assessment (</w:t>
      </w:r>
      <w:proofErr w:type="spellStart"/>
      <w:r w:rsidRPr="0051030D">
        <w:t>Abaneme</w:t>
      </w:r>
      <w:proofErr w:type="spellEnd"/>
      <w:r w:rsidRPr="0051030D">
        <w:t xml:space="preserve"> et al., 2025). </w:t>
      </w:r>
      <w:r w:rsidR="002065FE" w:rsidRPr="002065FE">
        <w:rPr>
          <w:lang w:val="en-GB"/>
        </w:rPr>
        <w:t>Zheng et al. (2025) demonstrate NLP extraction of clinical data, a technique transferable to CER/PMCF text</w:t>
      </w:r>
      <w:r w:rsidRPr="0051030D">
        <w:t xml:space="preserve">. Melton and </w:t>
      </w:r>
      <w:proofErr w:type="spellStart"/>
      <w:r w:rsidRPr="0051030D">
        <w:t>Hripcsak</w:t>
      </w:r>
      <w:proofErr w:type="spellEnd"/>
      <w:r w:rsidRPr="0051030D">
        <w:t xml:space="preserve"> (2005) explain how NLP models can identify gaps in equivalence claims or detect adverse event patterns across large text corpora.</w:t>
      </w:r>
    </w:p>
    <w:p w14:paraId="6651BFC2" w14:textId="77777777" w:rsidR="0051030D" w:rsidRPr="0051030D" w:rsidRDefault="0051030D" w:rsidP="0051030D">
      <w:pPr>
        <w:pStyle w:val="PostHeadPara"/>
      </w:pPr>
    </w:p>
    <w:p w14:paraId="65BE2EE1" w14:textId="1842A999" w:rsidR="0051030D" w:rsidRPr="0087426B" w:rsidRDefault="0087426B" w:rsidP="0087426B">
      <w:pPr>
        <w:pStyle w:val="Para"/>
        <w:rPr>
          <w:lang w:val="en-GB"/>
        </w:rPr>
      </w:pPr>
      <w:r w:rsidRPr="0087426B">
        <w:rPr>
          <w:lang w:val="en-GB"/>
        </w:rPr>
        <w:t>Stream processing tools like Apache Kafka enable timely PMS interventions, reflecting the real</w:t>
      </w:r>
      <w:r w:rsidRPr="0087426B">
        <w:rPr>
          <w:lang w:val="en-GB"/>
        </w:rPr>
        <w:noBreakHyphen/>
        <w:t>time analytics requirements noted in MDR</w:t>
      </w:r>
      <w:r w:rsidRPr="0087426B">
        <w:rPr>
          <w:lang w:val="en-GB"/>
        </w:rPr>
        <w:noBreakHyphen/>
        <w:t>aligned healthcare BDA frameworks (Imran et al., 2021; Khanra et al., 2020).</w:t>
      </w:r>
      <w:r>
        <w:rPr>
          <w:lang w:val="en-GB"/>
        </w:rPr>
        <w:t xml:space="preserve"> </w:t>
      </w:r>
      <w:r w:rsidR="0051030D" w:rsidRPr="0051030D">
        <w:t>This is particularly relevant for high-risk devices where rapid detection of safety signals can prevent harm (Khinvasara et al., 2024; Imran et al., 2021).</w:t>
      </w:r>
    </w:p>
    <w:p w14:paraId="011827BA" w14:textId="721C93C4" w:rsidR="0051030D" w:rsidRDefault="0051030D" w:rsidP="0051030D">
      <w:pPr>
        <w:pStyle w:val="Head2"/>
      </w:pPr>
      <w:r w:rsidRPr="0051030D">
        <w:t>Security and Governance</w:t>
      </w:r>
    </w:p>
    <w:p w14:paraId="1F44101E" w14:textId="77777777" w:rsidR="00257A25" w:rsidRPr="00257A25" w:rsidRDefault="00257A25" w:rsidP="00257A25">
      <w:pPr>
        <w:pStyle w:val="Para"/>
        <w:rPr>
          <w:lang w:eastAsia="en-US"/>
        </w:rPr>
      </w:pPr>
    </w:p>
    <w:p w14:paraId="16B8B3C9" w14:textId="77777777" w:rsidR="0051030D" w:rsidRPr="0051030D" w:rsidRDefault="0051030D" w:rsidP="00B0632F">
      <w:pPr>
        <w:pStyle w:val="Para"/>
      </w:pPr>
      <w:r w:rsidRPr="0051030D">
        <w:t>Data integrity and confidentiality are paramount in regulatory contexts. Technologies such as blockchain are emerging for immutable audit trails, ensuring transparency in conformity assessments (Surabhi, 2025; Shah &amp; Konda, 2025). Compliance with GDPR and MDR Annex VII requires robust governance frameworks, including role-based access and audit logging (Clemens, 2018; Savage, 2023).</w:t>
      </w:r>
    </w:p>
    <w:p w14:paraId="46D5D5C0" w14:textId="77777777" w:rsidR="0051030D" w:rsidRPr="0051030D" w:rsidRDefault="0051030D" w:rsidP="0051030D">
      <w:pPr>
        <w:pStyle w:val="PostHeadPara"/>
      </w:pPr>
    </w:p>
    <w:p w14:paraId="0E08A22B" w14:textId="3E40BF47" w:rsidR="0051030D" w:rsidRDefault="0051030D" w:rsidP="0051030D">
      <w:pPr>
        <w:pStyle w:val="PostHeadPara"/>
        <w:rPr>
          <w:b/>
          <w:bCs/>
        </w:rPr>
      </w:pPr>
      <w:r w:rsidRPr="0051030D">
        <w:rPr>
          <w:b/>
          <w:bCs/>
        </w:rPr>
        <w:t>Critical Evaluation:</w:t>
      </w:r>
    </w:p>
    <w:p w14:paraId="1C318E41" w14:textId="77777777" w:rsidR="00257A25" w:rsidRPr="00257A25" w:rsidRDefault="00257A25" w:rsidP="0051030D">
      <w:pPr>
        <w:pStyle w:val="PostHeadPara"/>
        <w:rPr>
          <w:b/>
          <w:bCs/>
        </w:rPr>
      </w:pPr>
    </w:p>
    <w:p w14:paraId="044DD18F" w14:textId="77777777" w:rsidR="00ED1B2E" w:rsidRPr="00ED1B2E" w:rsidRDefault="00ED1B2E" w:rsidP="00ED1B2E">
      <w:pPr>
        <w:pStyle w:val="Para"/>
        <w:rPr>
          <w:lang w:val="en-GB"/>
        </w:rPr>
      </w:pPr>
      <w:r w:rsidRPr="00ED1B2E">
        <w:rPr>
          <w:lang w:val="en-GB"/>
        </w:rPr>
        <w:t>While technologies offer immense scalability and analytical power, significant gaps remain between tool capabilities and MDR transparency and veracity requirements (Shahnawaz &amp; Kumar, 2025; Savage, 2023).</w:t>
      </w:r>
    </w:p>
    <w:p w14:paraId="0E81CA1D" w14:textId="77777777" w:rsidR="0051030D" w:rsidRPr="00ED1B2E" w:rsidRDefault="0051030D" w:rsidP="00B0632F">
      <w:pPr>
        <w:pStyle w:val="Para"/>
        <w:rPr>
          <w:lang w:val="en-GB"/>
        </w:rPr>
      </w:pPr>
    </w:p>
    <w:p w14:paraId="24337D4C" w14:textId="071D57AD" w:rsidR="0051030D" w:rsidRPr="0051030D" w:rsidRDefault="0051030D" w:rsidP="00B0632F">
      <w:pPr>
        <w:pStyle w:val="Para"/>
      </w:pPr>
      <w:r w:rsidRPr="0051030D">
        <w:t xml:space="preserve">Architecturally, stream processing frameworks like Apache Spark are critical for achieving the high Velocity required for timely adverse event detection in Post-Market Surveillance (PMS) (Omar &amp; </w:t>
      </w:r>
      <w:proofErr w:type="spellStart"/>
      <w:r w:rsidRPr="0051030D">
        <w:t>Jumaa</w:t>
      </w:r>
      <w:proofErr w:type="spellEnd"/>
      <w:r w:rsidRPr="0051030D">
        <w:t xml:space="preserve">, 2022; </w:t>
      </w:r>
      <w:proofErr w:type="spellStart"/>
      <w:r w:rsidRPr="0051030D">
        <w:t>Bajaber</w:t>
      </w:r>
      <w:proofErr w:type="spellEnd"/>
      <w:r w:rsidRPr="0051030D">
        <w:t xml:space="preserve"> et al., 2017). This high-speed capability </w:t>
      </w:r>
      <w:r w:rsidR="00B542AC" w:rsidRPr="00B542AC">
        <w:t>supports the timeliness required for Article 83 PMS activities</w:t>
      </w:r>
      <w:r w:rsidRPr="0051030D">
        <w:t xml:space="preserve">, contrasting sharply with the lower latency offered by purely batch systems like MapReduce (Savage, 2023; </w:t>
      </w:r>
      <w:proofErr w:type="spellStart"/>
      <w:r w:rsidRPr="0051030D">
        <w:t>Bajaber</w:t>
      </w:r>
      <w:proofErr w:type="spellEnd"/>
      <w:r w:rsidRPr="0051030D">
        <w:t xml:space="preserve"> et al., 2017). The optimal functional design for Notified Bodies often involves </w:t>
      </w:r>
      <w:proofErr w:type="gramStart"/>
      <w:r w:rsidRPr="0051030D">
        <w:t>a Lambda</w:t>
      </w:r>
      <w:proofErr w:type="gramEnd"/>
      <w:r w:rsidRPr="0051030D">
        <w:t xml:space="preserve"> or Kappa </w:t>
      </w:r>
      <w:r w:rsidRPr="0051030D">
        <w:lastRenderedPageBreak/>
        <w:t>architecture, combining the reliability of batch processing with the timeliness of stream analytics, ensuring both historical context and real-time intervention capability (</w:t>
      </w:r>
      <w:proofErr w:type="spellStart"/>
      <w:r w:rsidRPr="0051030D">
        <w:t>Bajaber</w:t>
      </w:r>
      <w:proofErr w:type="spellEnd"/>
      <w:r w:rsidRPr="0051030D">
        <w:t xml:space="preserve"> et al., 2017; Shahnawaz &amp; Kumar, 2025).</w:t>
      </w:r>
    </w:p>
    <w:p w14:paraId="665AA061" w14:textId="77777777" w:rsidR="0051030D" w:rsidRPr="0051030D" w:rsidRDefault="0051030D" w:rsidP="0051030D">
      <w:pPr>
        <w:pStyle w:val="PostHeadPara"/>
      </w:pPr>
    </w:p>
    <w:p w14:paraId="3DC785ED" w14:textId="73E26A15" w:rsidR="0051030D" w:rsidRPr="0051030D" w:rsidRDefault="0051030D" w:rsidP="00B0632F">
      <w:pPr>
        <w:pStyle w:val="Para"/>
      </w:pPr>
      <w:r w:rsidRPr="0051030D">
        <w:t xml:space="preserve">Table 1 below </w:t>
      </w:r>
      <w:proofErr w:type="spellStart"/>
      <w:r w:rsidRPr="0051030D">
        <w:t>synthesises</w:t>
      </w:r>
      <w:proofErr w:type="spellEnd"/>
      <w:r w:rsidRPr="0051030D">
        <w:t xml:space="preserve"> the alignment between these core BDA technologies and the specific compliance needs of the Medical Device Regulation.</w:t>
      </w:r>
    </w:p>
    <w:p w14:paraId="5D9D9936" w14:textId="684C3950" w:rsidR="0051030D" w:rsidRPr="0051030D" w:rsidRDefault="0051030D" w:rsidP="0051030D">
      <w:pPr>
        <w:pStyle w:val="TableCaption"/>
      </w:pPr>
      <w:r w:rsidRPr="0051030D">
        <w:t>Table 1. Alignment of Key Big Data Analytics Technologies with MDR Compliance Requirements</w:t>
      </w:r>
    </w:p>
    <w:tbl>
      <w:tblPr>
        <w:tblStyle w:val="TableGrid"/>
        <w:tblW w:w="87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0"/>
        <w:gridCol w:w="2190"/>
        <w:gridCol w:w="2191"/>
        <w:gridCol w:w="2191"/>
      </w:tblGrid>
      <w:tr w:rsidR="00257A25" w14:paraId="4E7F0CB4" w14:textId="77777777" w:rsidTr="00BA62EE">
        <w:trPr>
          <w:trHeight w:val="419"/>
        </w:trPr>
        <w:tc>
          <w:tcPr>
            <w:tcW w:w="2190" w:type="dxa"/>
            <w:tcBorders>
              <w:top w:val="single" w:sz="4" w:space="0" w:color="auto"/>
              <w:bottom w:val="single" w:sz="4" w:space="0" w:color="auto"/>
            </w:tcBorders>
          </w:tcPr>
          <w:p w14:paraId="0CED004A" w14:textId="119B1872" w:rsidR="00257A25" w:rsidRDefault="00257A25" w:rsidP="00257A25">
            <w:pPr>
              <w:pStyle w:val="TableCell"/>
              <w:jc w:val="center"/>
            </w:pPr>
            <w:r w:rsidRPr="00257A25">
              <w:t>Framework/Technique</w:t>
            </w:r>
          </w:p>
        </w:tc>
        <w:tc>
          <w:tcPr>
            <w:tcW w:w="2190" w:type="dxa"/>
            <w:tcBorders>
              <w:top w:val="single" w:sz="4" w:space="0" w:color="auto"/>
              <w:bottom w:val="single" w:sz="4" w:space="0" w:color="auto"/>
            </w:tcBorders>
          </w:tcPr>
          <w:p w14:paraId="7B30C975" w14:textId="06058DB5" w:rsidR="00257A25" w:rsidRDefault="00257A25" w:rsidP="00257A25">
            <w:pPr>
              <w:pStyle w:val="TableCell"/>
              <w:jc w:val="center"/>
            </w:pPr>
            <w:r w:rsidRPr="00257A25">
              <w:t>Big Data V Addressed</w:t>
            </w:r>
          </w:p>
        </w:tc>
        <w:tc>
          <w:tcPr>
            <w:tcW w:w="2191" w:type="dxa"/>
            <w:tcBorders>
              <w:top w:val="single" w:sz="4" w:space="0" w:color="auto"/>
              <w:bottom w:val="single" w:sz="4" w:space="0" w:color="auto"/>
            </w:tcBorders>
          </w:tcPr>
          <w:p w14:paraId="19AD7EA6" w14:textId="1E1A0663" w:rsidR="00257A25" w:rsidRDefault="00257A25" w:rsidP="00257A25">
            <w:pPr>
              <w:pStyle w:val="TableCell"/>
              <w:jc w:val="center"/>
            </w:pPr>
            <w:r w:rsidRPr="00257A25">
              <w:t>MDR Compliance Application</w:t>
            </w:r>
          </w:p>
        </w:tc>
        <w:tc>
          <w:tcPr>
            <w:tcW w:w="2191" w:type="dxa"/>
            <w:tcBorders>
              <w:top w:val="single" w:sz="4" w:space="0" w:color="auto"/>
              <w:bottom w:val="single" w:sz="4" w:space="0" w:color="auto"/>
            </w:tcBorders>
          </w:tcPr>
          <w:p w14:paraId="2FE06492" w14:textId="6773CF31" w:rsidR="00257A25" w:rsidRDefault="00257A25" w:rsidP="00257A25">
            <w:pPr>
              <w:pStyle w:val="TableCell"/>
              <w:jc w:val="center"/>
            </w:pPr>
            <w:r w:rsidRPr="00257A25">
              <w:t>Critical Strength</w:t>
            </w:r>
          </w:p>
        </w:tc>
      </w:tr>
      <w:tr w:rsidR="00257A25" w14:paraId="62426304" w14:textId="77777777" w:rsidTr="00BA62EE">
        <w:trPr>
          <w:trHeight w:val="419"/>
        </w:trPr>
        <w:tc>
          <w:tcPr>
            <w:tcW w:w="2190" w:type="dxa"/>
            <w:tcBorders>
              <w:top w:val="single" w:sz="4" w:space="0" w:color="auto"/>
            </w:tcBorders>
          </w:tcPr>
          <w:p w14:paraId="7B174328" w14:textId="4F16A7A2" w:rsidR="00257A25" w:rsidRDefault="00257A25" w:rsidP="00257A25">
            <w:pPr>
              <w:pStyle w:val="TableCell"/>
              <w:ind w:firstLine="0"/>
            </w:pPr>
            <w:r w:rsidRPr="00257A25">
              <w:t>Apache Spark</w:t>
            </w:r>
          </w:p>
        </w:tc>
        <w:tc>
          <w:tcPr>
            <w:tcW w:w="2190" w:type="dxa"/>
            <w:tcBorders>
              <w:top w:val="single" w:sz="4" w:space="0" w:color="auto"/>
            </w:tcBorders>
          </w:tcPr>
          <w:p w14:paraId="467859B4" w14:textId="3329CB51" w:rsidR="00257A25" w:rsidRDefault="00257A25" w:rsidP="00257A25">
            <w:pPr>
              <w:pStyle w:val="TableCell"/>
            </w:pPr>
            <w:r w:rsidRPr="00257A25">
              <w:t>Velocity, Volume</w:t>
            </w:r>
          </w:p>
        </w:tc>
        <w:tc>
          <w:tcPr>
            <w:tcW w:w="2191" w:type="dxa"/>
            <w:tcBorders>
              <w:top w:val="single" w:sz="4" w:space="0" w:color="auto"/>
            </w:tcBorders>
          </w:tcPr>
          <w:p w14:paraId="1216381E" w14:textId="6569B79E" w:rsidR="00257A25" w:rsidRDefault="00257A25" w:rsidP="00257A25">
            <w:pPr>
              <w:pStyle w:val="TableCell"/>
              <w:ind w:firstLine="0"/>
            </w:pPr>
            <w:r w:rsidRPr="00257A25">
              <w:t>Real-time PMS signal detection (MDR Art. 83)</w:t>
            </w:r>
          </w:p>
        </w:tc>
        <w:tc>
          <w:tcPr>
            <w:tcW w:w="2191" w:type="dxa"/>
            <w:tcBorders>
              <w:top w:val="single" w:sz="4" w:space="0" w:color="auto"/>
            </w:tcBorders>
          </w:tcPr>
          <w:p w14:paraId="797395AF" w14:textId="23B61665" w:rsidR="00257A25" w:rsidRDefault="00257A25" w:rsidP="00257A25">
            <w:pPr>
              <w:pStyle w:val="TableCell"/>
              <w:ind w:firstLine="0"/>
            </w:pPr>
            <w:r w:rsidRPr="00257A25">
              <w:t xml:space="preserve">Low-latency stream processing </w:t>
            </w:r>
          </w:p>
        </w:tc>
      </w:tr>
      <w:tr w:rsidR="00257A25" w14:paraId="6C4A9A2E" w14:textId="77777777" w:rsidTr="00BA62EE">
        <w:trPr>
          <w:trHeight w:val="636"/>
        </w:trPr>
        <w:tc>
          <w:tcPr>
            <w:tcW w:w="2190" w:type="dxa"/>
          </w:tcPr>
          <w:p w14:paraId="27DD87D1" w14:textId="1B85ED0C" w:rsidR="00257A25" w:rsidRDefault="00257A25" w:rsidP="00257A25">
            <w:pPr>
              <w:pStyle w:val="TableCell"/>
              <w:ind w:firstLine="0"/>
            </w:pPr>
            <w:r w:rsidRPr="00257A25">
              <w:t>NoSQL (e.g., Cassandra)</w:t>
            </w:r>
          </w:p>
        </w:tc>
        <w:tc>
          <w:tcPr>
            <w:tcW w:w="2190" w:type="dxa"/>
          </w:tcPr>
          <w:p w14:paraId="78B01DF6" w14:textId="7BE39C5A" w:rsidR="00257A25" w:rsidRDefault="00257A25" w:rsidP="00257A25">
            <w:pPr>
              <w:pStyle w:val="TableCell"/>
            </w:pPr>
            <w:r w:rsidRPr="00257A25">
              <w:t>Variety</w:t>
            </w:r>
          </w:p>
        </w:tc>
        <w:tc>
          <w:tcPr>
            <w:tcW w:w="2191" w:type="dxa"/>
          </w:tcPr>
          <w:p w14:paraId="177A59AF" w14:textId="65F23555" w:rsidR="00257A25" w:rsidRDefault="00257A25" w:rsidP="00257A25">
            <w:pPr>
              <w:pStyle w:val="TableCell"/>
              <w:ind w:firstLine="0"/>
            </w:pPr>
            <w:r w:rsidRPr="00257A25">
              <w:t>Flexible storage for heterogeneous vigilance reports</w:t>
            </w:r>
          </w:p>
        </w:tc>
        <w:tc>
          <w:tcPr>
            <w:tcW w:w="2191" w:type="dxa"/>
          </w:tcPr>
          <w:p w14:paraId="4BCF5708" w14:textId="17F4FBD6" w:rsidR="00257A25" w:rsidRDefault="00257A25" w:rsidP="00257A25">
            <w:pPr>
              <w:pStyle w:val="TableCell"/>
              <w:ind w:firstLine="0"/>
            </w:pPr>
            <w:r w:rsidRPr="00257A25">
              <w:t>Schema-less adaptability</w:t>
            </w:r>
          </w:p>
        </w:tc>
      </w:tr>
      <w:tr w:rsidR="00257A25" w14:paraId="477A86F7" w14:textId="77777777" w:rsidTr="00BA62EE">
        <w:trPr>
          <w:trHeight w:val="636"/>
        </w:trPr>
        <w:tc>
          <w:tcPr>
            <w:tcW w:w="2190" w:type="dxa"/>
          </w:tcPr>
          <w:p w14:paraId="0509D378" w14:textId="2C6E012F" w:rsidR="00257A25" w:rsidRDefault="00257A25" w:rsidP="00257A25">
            <w:pPr>
              <w:pStyle w:val="TableCell"/>
              <w:ind w:firstLine="0"/>
            </w:pPr>
            <w:r w:rsidRPr="00257A25">
              <w:t>NLP</w:t>
            </w:r>
          </w:p>
        </w:tc>
        <w:tc>
          <w:tcPr>
            <w:tcW w:w="2190" w:type="dxa"/>
          </w:tcPr>
          <w:p w14:paraId="650266B4" w14:textId="133023A5" w:rsidR="00257A25" w:rsidRDefault="00257A25" w:rsidP="00257A25">
            <w:pPr>
              <w:pStyle w:val="TableCell"/>
            </w:pPr>
            <w:r w:rsidRPr="00257A25">
              <w:t>Variety, Veracity</w:t>
            </w:r>
          </w:p>
        </w:tc>
        <w:tc>
          <w:tcPr>
            <w:tcW w:w="2191" w:type="dxa"/>
          </w:tcPr>
          <w:p w14:paraId="282AE581" w14:textId="38D433EE" w:rsidR="00257A25" w:rsidRDefault="00257A25" w:rsidP="00257A25">
            <w:pPr>
              <w:pStyle w:val="TableCell"/>
              <w:ind w:firstLine="0"/>
            </w:pPr>
            <w:r w:rsidRPr="00257A25">
              <w:t xml:space="preserve">Automated extraction from unstructured CER/PMCF text </w:t>
            </w:r>
          </w:p>
        </w:tc>
        <w:tc>
          <w:tcPr>
            <w:tcW w:w="2191" w:type="dxa"/>
          </w:tcPr>
          <w:p w14:paraId="10B33EBD" w14:textId="3FD8F3C6" w:rsidR="00257A25" w:rsidRDefault="00257A25" w:rsidP="00257A25">
            <w:pPr>
              <w:pStyle w:val="TableCell"/>
              <w:ind w:firstLine="0"/>
            </w:pPr>
            <w:r w:rsidRPr="00257A25">
              <w:t xml:space="preserve">Data </w:t>
            </w:r>
            <w:proofErr w:type="spellStart"/>
            <w:r w:rsidRPr="00257A25">
              <w:t>harmonisation</w:t>
            </w:r>
            <w:proofErr w:type="spellEnd"/>
            <w:r w:rsidRPr="00257A25">
              <w:t xml:space="preserve"> and consistency</w:t>
            </w:r>
          </w:p>
        </w:tc>
      </w:tr>
      <w:tr w:rsidR="00257A25" w14:paraId="27F63CBC" w14:textId="77777777" w:rsidTr="00BA62EE">
        <w:trPr>
          <w:trHeight w:val="636"/>
        </w:trPr>
        <w:tc>
          <w:tcPr>
            <w:tcW w:w="2190" w:type="dxa"/>
          </w:tcPr>
          <w:p w14:paraId="4298954F" w14:textId="010CC342" w:rsidR="00257A25" w:rsidRDefault="00257A25" w:rsidP="00257A25">
            <w:pPr>
              <w:pStyle w:val="TableCell"/>
              <w:ind w:firstLine="0"/>
            </w:pPr>
            <w:r w:rsidRPr="00257A25">
              <w:t>XAI Frameworks</w:t>
            </w:r>
          </w:p>
        </w:tc>
        <w:tc>
          <w:tcPr>
            <w:tcW w:w="2190" w:type="dxa"/>
          </w:tcPr>
          <w:p w14:paraId="72A4E0E5" w14:textId="61AB63A9" w:rsidR="00257A25" w:rsidRDefault="00257A25" w:rsidP="00257A25">
            <w:pPr>
              <w:pStyle w:val="TableCell"/>
            </w:pPr>
            <w:r w:rsidRPr="00257A25">
              <w:t>Veracity, Validity</w:t>
            </w:r>
          </w:p>
        </w:tc>
        <w:tc>
          <w:tcPr>
            <w:tcW w:w="2191" w:type="dxa"/>
          </w:tcPr>
          <w:p w14:paraId="3A54B24B" w14:textId="071B3C71" w:rsidR="00257A25" w:rsidRDefault="00257A25" w:rsidP="00257A25">
            <w:pPr>
              <w:pStyle w:val="TableCell"/>
              <w:ind w:firstLine="0"/>
            </w:pPr>
            <w:r w:rsidRPr="00257A25">
              <w:t>Auditing and interpretability of predictive risk models</w:t>
            </w:r>
          </w:p>
        </w:tc>
        <w:tc>
          <w:tcPr>
            <w:tcW w:w="2191" w:type="dxa"/>
          </w:tcPr>
          <w:p w14:paraId="5E48BFE2" w14:textId="3AEA6529" w:rsidR="00257A25" w:rsidRDefault="00257A25" w:rsidP="00257A25">
            <w:pPr>
              <w:pStyle w:val="TableCell"/>
              <w:ind w:firstLine="0"/>
            </w:pPr>
            <w:r w:rsidRPr="00257A25">
              <w:t>Ensures transparency required for conformity assessments</w:t>
            </w:r>
          </w:p>
        </w:tc>
      </w:tr>
      <w:tr w:rsidR="00257A25" w14:paraId="24F4A0CC" w14:textId="77777777" w:rsidTr="00BA62EE">
        <w:trPr>
          <w:trHeight w:val="655"/>
        </w:trPr>
        <w:tc>
          <w:tcPr>
            <w:tcW w:w="2190" w:type="dxa"/>
            <w:tcBorders>
              <w:bottom w:val="single" w:sz="4" w:space="0" w:color="auto"/>
            </w:tcBorders>
          </w:tcPr>
          <w:p w14:paraId="2C84C6E6" w14:textId="4D37B2E1" w:rsidR="00257A25" w:rsidRDefault="00257A25" w:rsidP="00257A25">
            <w:pPr>
              <w:pStyle w:val="TableCell"/>
              <w:ind w:firstLine="0"/>
            </w:pPr>
            <w:r w:rsidRPr="00257A25">
              <w:t>Cloud Computing (e.g., Azure)</w:t>
            </w:r>
          </w:p>
        </w:tc>
        <w:tc>
          <w:tcPr>
            <w:tcW w:w="2190" w:type="dxa"/>
            <w:tcBorders>
              <w:bottom w:val="single" w:sz="4" w:space="0" w:color="auto"/>
            </w:tcBorders>
          </w:tcPr>
          <w:p w14:paraId="7CCF2DC8" w14:textId="6CD64B89" w:rsidR="00257A25" w:rsidRDefault="00257A25" w:rsidP="00257A25">
            <w:pPr>
              <w:pStyle w:val="TableCell"/>
            </w:pPr>
            <w:r w:rsidRPr="00257A25">
              <w:t>Volume, Validity</w:t>
            </w:r>
          </w:p>
        </w:tc>
        <w:tc>
          <w:tcPr>
            <w:tcW w:w="2191" w:type="dxa"/>
            <w:tcBorders>
              <w:bottom w:val="single" w:sz="4" w:space="0" w:color="auto"/>
            </w:tcBorders>
          </w:tcPr>
          <w:p w14:paraId="331C55C2" w14:textId="741CB2E3" w:rsidR="00257A25" w:rsidRDefault="00257A25" w:rsidP="00257A25">
            <w:pPr>
              <w:pStyle w:val="TableCell"/>
              <w:ind w:firstLine="0"/>
            </w:pPr>
            <w:r w:rsidRPr="00257A25">
              <w:t>Scalable and secure environment for regulatory data storage and processing</w:t>
            </w:r>
          </w:p>
        </w:tc>
        <w:tc>
          <w:tcPr>
            <w:tcW w:w="2191" w:type="dxa"/>
            <w:tcBorders>
              <w:bottom w:val="single" w:sz="4" w:space="0" w:color="auto"/>
            </w:tcBorders>
          </w:tcPr>
          <w:p w14:paraId="6112AFF1" w14:textId="0C07B2DE" w:rsidR="00257A25" w:rsidRDefault="00257A25" w:rsidP="00257A25">
            <w:pPr>
              <w:pStyle w:val="TableCell"/>
              <w:ind w:firstLine="0"/>
            </w:pPr>
            <w:r w:rsidRPr="00257A25">
              <w:t>Elastic resources and built-in GDPR/security controls</w:t>
            </w:r>
          </w:p>
        </w:tc>
      </w:tr>
    </w:tbl>
    <w:p w14:paraId="2DAC5703" w14:textId="77777777" w:rsidR="00257A25" w:rsidRDefault="00257A25" w:rsidP="00257A25">
      <w:pPr>
        <w:pStyle w:val="TableFootnote"/>
        <w:spacing w:before="60"/>
        <w:jc w:val="center"/>
        <w:rPr>
          <w:rFonts w:ascii="Times New Roman" w:hAnsi="Times New Roman"/>
          <w:sz w:val="16"/>
          <w:szCs w:val="16"/>
          <w:vertAlign w:val="superscript"/>
        </w:rPr>
      </w:pPr>
      <w:r w:rsidRPr="00257A25">
        <w:rPr>
          <w:rFonts w:ascii="Times New Roman" w:hAnsi="Times New Roman"/>
          <w:sz w:val="16"/>
          <w:szCs w:val="16"/>
          <w:vertAlign w:val="superscript"/>
        </w:rPr>
        <w:t>Note. This table was created by the author to synthesize the functional and architectural requirements of BDA tools against the MDR’s demands for data Volume, Velocity, Variety, Veracity, and Validity.</w:t>
      </w:r>
    </w:p>
    <w:p w14:paraId="79D958AD" w14:textId="10263B3F" w:rsidR="00257A25" w:rsidRPr="00257A25" w:rsidRDefault="00257A25" w:rsidP="00B0632F">
      <w:pPr>
        <w:pStyle w:val="Para"/>
      </w:pPr>
      <w:r w:rsidRPr="00257A25">
        <w:t xml:space="preserve">Furthermore, the interpretability of complex Machine Learning (ML) models remains a significant concern for regulatory acceptance (Imran et al., 2021; Niazi, 2024). To satisfy the MDR's demand for transparency in conformity assessments, the integration of Explainable AI (XAI) techniques is not merely advantageous, but necessary (Imran et al., 2021; </w:t>
      </w:r>
      <w:proofErr w:type="spellStart"/>
      <w:r w:rsidRPr="00257A25">
        <w:t>Abaneme</w:t>
      </w:r>
      <w:proofErr w:type="spellEnd"/>
      <w:r w:rsidRPr="00257A25">
        <w:t xml:space="preserve"> et al., 2025). XAI addresses the challenge of model opacity, ensuring that the </w:t>
      </w:r>
      <w:proofErr w:type="gramStart"/>
      <w:r w:rsidRPr="00257A25">
        <w:t>outputs</w:t>
      </w:r>
      <w:proofErr w:type="gramEnd"/>
      <w:r w:rsidRPr="00257A25">
        <w:t xml:space="preserve"> used for clinical or risk-based decisions are auditable, thereby strengthening the Veracity of the BDA system itself (</w:t>
      </w:r>
      <w:proofErr w:type="spellStart"/>
      <w:r w:rsidRPr="00257A25">
        <w:t>Abaneme</w:t>
      </w:r>
      <w:proofErr w:type="spellEnd"/>
      <w:r w:rsidRPr="00257A25">
        <w:t xml:space="preserve"> et al., 2025; Imran et al., 2021).</w:t>
      </w:r>
    </w:p>
    <w:p w14:paraId="067832A6" w14:textId="230A2770" w:rsidR="00257A25" w:rsidRPr="00257A25" w:rsidRDefault="00257A25" w:rsidP="00257A25">
      <w:pPr>
        <w:pStyle w:val="Head1"/>
        <w:ind w:left="432" w:hanging="432"/>
      </w:pPr>
      <w:r w:rsidRPr="00257A25">
        <w:t>Application Review: Medical Device Regulatory Compliance</w:t>
      </w:r>
    </w:p>
    <w:p w14:paraId="282C3304" w14:textId="5A81BD1C" w:rsidR="00257A25" w:rsidRDefault="00257A25" w:rsidP="00257A25">
      <w:pPr>
        <w:pStyle w:val="Head2"/>
      </w:pPr>
      <w:r w:rsidRPr="00257A25">
        <w:t>Post-Market Surveillance (PMS)</w:t>
      </w:r>
    </w:p>
    <w:p w14:paraId="3C2BF5D9" w14:textId="77777777" w:rsidR="00257A25" w:rsidRPr="00257A25" w:rsidRDefault="00257A25" w:rsidP="00257A25">
      <w:pPr>
        <w:pStyle w:val="Para"/>
        <w:rPr>
          <w:lang w:eastAsia="en-US"/>
        </w:rPr>
      </w:pPr>
    </w:p>
    <w:p w14:paraId="42ADDFB1" w14:textId="13790322" w:rsidR="00257A25" w:rsidRPr="005014EF" w:rsidRDefault="00257A25" w:rsidP="005014EF">
      <w:pPr>
        <w:pStyle w:val="Para"/>
        <w:rPr>
          <w:lang w:val="en-GB"/>
        </w:rPr>
      </w:pPr>
      <w:r w:rsidRPr="00257A25">
        <w:t xml:space="preserve">MDR mandates proactive and systematic PMS. The core BDA challenge here is Variety and Veracity (Khanra et al., 2020; Imran et al., 2021). </w:t>
      </w:r>
      <w:r w:rsidR="005014EF" w:rsidRPr="005014EF">
        <w:rPr>
          <w:lang w:val="en-GB"/>
        </w:rPr>
        <w:t xml:space="preserve">Aggregation of heterogeneous PMS data requires fusion architectures enabled by Spark/Hadoop ecosystems previously applied in healthcare BDA (Imran et al., 2021; Omar &amp; </w:t>
      </w:r>
      <w:proofErr w:type="spellStart"/>
      <w:r w:rsidR="005014EF" w:rsidRPr="005014EF">
        <w:rPr>
          <w:lang w:val="en-GB"/>
        </w:rPr>
        <w:t>Jumaa</w:t>
      </w:r>
      <w:proofErr w:type="spellEnd"/>
      <w:r w:rsidR="005014EF" w:rsidRPr="005014EF">
        <w:rPr>
          <w:lang w:val="en-GB"/>
        </w:rPr>
        <w:t>, 2022).</w:t>
      </w:r>
    </w:p>
    <w:p w14:paraId="236B6ED5" w14:textId="77777777" w:rsidR="00257A25" w:rsidRPr="00257A25" w:rsidRDefault="00257A25" w:rsidP="00AB00F4">
      <w:pPr>
        <w:pStyle w:val="Para"/>
      </w:pPr>
    </w:p>
    <w:p w14:paraId="6B879993" w14:textId="77777777" w:rsidR="00257A25" w:rsidRDefault="00257A25" w:rsidP="00AB00F4">
      <w:pPr>
        <w:pStyle w:val="Para"/>
      </w:pPr>
      <w:r w:rsidRPr="00257A25">
        <w:t>Natural Language Processing (NLP) is the enabling technique that specifically overcomes this challenge (Melton &amp; Hripcsak, 2005; Zheng et al., 2025) . Figure 3 illustrates the necessary data flow from heterogeneous sources through the BDA platform to the Notified Body’s risk action.</w:t>
      </w:r>
    </w:p>
    <w:p w14:paraId="5A605F37" w14:textId="68C92DF9" w:rsidR="00257A25" w:rsidRDefault="00257A25" w:rsidP="00257A25">
      <w:pPr>
        <w:pStyle w:val="TableFootnote"/>
        <w:spacing w:before="60"/>
        <w:rPr>
          <w:rFonts w:ascii="Times New Roman" w:hAnsi="Times New Roman"/>
          <w:sz w:val="16"/>
          <w:szCs w:val="16"/>
          <w:vertAlign w:val="superscript"/>
        </w:rPr>
      </w:pPr>
      <w:r w:rsidRPr="007208C8">
        <w:rPr>
          <w:noProof/>
          <w:color w:val="000000" w:themeColor="text1"/>
        </w:rPr>
        <w:lastRenderedPageBreak/>
        <w:drawing>
          <wp:inline distT="0" distB="0" distL="0" distR="0" wp14:anchorId="08F59702" wp14:editId="58567AC7">
            <wp:extent cx="5372100" cy="2819400"/>
            <wp:effectExtent l="0" t="0" r="19050" b="0"/>
            <wp:docPr id="156250062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30951B1B" w14:textId="77777777" w:rsidR="00257A25" w:rsidRPr="00257A25" w:rsidRDefault="00257A25" w:rsidP="00257A25">
      <w:pPr>
        <w:pStyle w:val="FigureCaption"/>
      </w:pPr>
      <w:r w:rsidRPr="00257A25">
        <w:t>Figure 3 BDA-Enabled Workflow for Post-Market Surveillance and Regulatory Signal Detection</w:t>
      </w:r>
    </w:p>
    <w:p w14:paraId="1FCB7528" w14:textId="6196E67A" w:rsidR="00257A25" w:rsidRDefault="00257A25" w:rsidP="00257A25">
      <w:pPr>
        <w:pStyle w:val="FigureCaption"/>
      </w:pPr>
      <w:r w:rsidRPr="00257A25">
        <w:t xml:space="preserve">Note. This figure was created by the author to </w:t>
      </w:r>
      <w:proofErr w:type="spellStart"/>
      <w:r w:rsidRPr="00257A25">
        <w:t>synthesi</w:t>
      </w:r>
      <w:r w:rsidR="001F647C">
        <w:t>s</w:t>
      </w:r>
      <w:r w:rsidRPr="00257A25">
        <w:t>e</w:t>
      </w:r>
      <w:proofErr w:type="spellEnd"/>
      <w:r w:rsidRPr="00257A25">
        <w:t xml:space="preserve"> the functional and architectural requirements for managing heterogeneous PMS data under MDR.</w:t>
      </w:r>
    </w:p>
    <w:p w14:paraId="58814FC9" w14:textId="06195948" w:rsidR="00257A25" w:rsidRPr="007A474A" w:rsidRDefault="007A474A" w:rsidP="007A474A">
      <w:pPr>
        <w:pStyle w:val="Para"/>
        <w:rPr>
          <w:lang w:val="en-GB"/>
        </w:rPr>
      </w:pPr>
      <w:r w:rsidRPr="007A474A">
        <w:rPr>
          <w:lang w:val="en-GB"/>
        </w:rPr>
        <w:t xml:space="preserve">NLP models transform unstructured vigilance reports into structured formats suitable for quantitative analysis, often stored in scalable NoSQL environments used in healthcare BDA (Melton &amp; Hripcsak, 2005; </w:t>
      </w:r>
      <w:proofErr w:type="spellStart"/>
      <w:r w:rsidRPr="007A474A">
        <w:rPr>
          <w:lang w:val="en-GB"/>
        </w:rPr>
        <w:t>Khoshroudi</w:t>
      </w:r>
      <w:proofErr w:type="spellEnd"/>
      <w:r w:rsidRPr="007A474A">
        <w:rPr>
          <w:lang w:val="en-GB"/>
        </w:rPr>
        <w:t xml:space="preserve"> et al., 2025).</w:t>
      </w:r>
      <w:r>
        <w:rPr>
          <w:lang w:val="en-GB"/>
        </w:rPr>
        <w:t xml:space="preserve"> </w:t>
      </w:r>
      <w:r w:rsidR="00257A25" w:rsidRPr="00257A25">
        <w:t xml:space="preserve">By </w:t>
      </w:r>
      <w:proofErr w:type="spellStart"/>
      <w:r w:rsidR="00257A25" w:rsidRPr="00257A25">
        <w:t>standardising</w:t>
      </w:r>
      <w:proofErr w:type="spellEnd"/>
      <w:r w:rsidR="00257A25" w:rsidRPr="00257A25">
        <w:t xml:space="preserve"> this input, BDA can provide predictive models that forecast device failures or emerging safety signals, supporting the Notified Body's risk-based approach to auditing and contributing directly to the mandatory Periodic Safety Update Reports (PSURs) (Khinvasara et al., 2024; Savage, 2023).</w:t>
      </w:r>
    </w:p>
    <w:p w14:paraId="73DEC628" w14:textId="77777777" w:rsidR="00257A25" w:rsidRPr="00257A25" w:rsidRDefault="00257A25" w:rsidP="00AB00F4">
      <w:pPr>
        <w:pStyle w:val="Para"/>
      </w:pPr>
    </w:p>
    <w:p w14:paraId="6C3A184E" w14:textId="48BD1FBA" w:rsidR="00257A25" w:rsidRPr="00257A25" w:rsidRDefault="00257A25" w:rsidP="00AB00F4">
      <w:pPr>
        <w:pStyle w:val="Para"/>
      </w:pPr>
      <w:r w:rsidRPr="00257A25">
        <w:t xml:space="preserve">Example: A Notified Body could use BDA dashboards to </w:t>
      </w:r>
      <w:proofErr w:type="spellStart"/>
      <w:r w:rsidR="001F647C">
        <w:t>visualise</w:t>
      </w:r>
      <w:proofErr w:type="spellEnd"/>
      <w:r w:rsidRPr="00257A25">
        <w:t xml:space="preserve"> complaint trends across device families, </w:t>
      </w:r>
      <w:proofErr w:type="spellStart"/>
      <w:r w:rsidR="001F647C">
        <w:t>prioritising</w:t>
      </w:r>
      <w:proofErr w:type="spellEnd"/>
      <w:r w:rsidRPr="00257A25">
        <w:t xml:space="preserve"> audits for products with rising incident rates (Khinvasara et al., 2024; Savage, 2023). This aligns with MDR Articles 83–86 and enhances surveillance efficiency (Savage, 2023; Clemens, 2018).</w:t>
      </w:r>
    </w:p>
    <w:p w14:paraId="5E91D5B7" w14:textId="1ACCD958" w:rsidR="00257A25" w:rsidRDefault="00257A25" w:rsidP="00257A25">
      <w:pPr>
        <w:pStyle w:val="Head2"/>
      </w:pPr>
      <w:r w:rsidRPr="00257A25">
        <w:t>Clinical Evidence Analysis</w:t>
      </w:r>
    </w:p>
    <w:p w14:paraId="30EF1E34" w14:textId="77777777" w:rsidR="00257A25" w:rsidRPr="00257A25" w:rsidRDefault="00257A25" w:rsidP="00257A25">
      <w:pPr>
        <w:pStyle w:val="Para"/>
        <w:rPr>
          <w:lang w:eastAsia="en-US"/>
        </w:rPr>
      </w:pPr>
    </w:p>
    <w:p w14:paraId="1BC0AC0B" w14:textId="77777777" w:rsidR="00257A25" w:rsidRDefault="00257A25" w:rsidP="00AB00F4">
      <w:pPr>
        <w:pStyle w:val="Para"/>
      </w:pPr>
      <w:r w:rsidRPr="00257A25">
        <w:t>Clinical evaluation under MDR requires robust evidence of safety and performance (Savage, 2023; Clemens, 2018). NLP tools, already deployed in diabetes care for CGM data extraction (Zheng et al., 2025), can automate CER reviews by extracting key metrics. This reduces manual workload and improves consistency in assessments (Imran et al., 2021; Niazi, 2024).</w:t>
      </w:r>
    </w:p>
    <w:p w14:paraId="47C981CC" w14:textId="77777777" w:rsidR="005C6009" w:rsidRDefault="005C6009" w:rsidP="00257A25">
      <w:pPr>
        <w:pStyle w:val="PostHeadPara"/>
      </w:pPr>
    </w:p>
    <w:p w14:paraId="654EA4C6" w14:textId="77777777" w:rsidR="00B601F5" w:rsidRDefault="00B601F5" w:rsidP="00257A25">
      <w:pPr>
        <w:pStyle w:val="PostHeadPara"/>
      </w:pPr>
    </w:p>
    <w:p w14:paraId="3B16C614" w14:textId="7E1A14AE" w:rsidR="005C6009" w:rsidRDefault="005C6009" w:rsidP="005C6009">
      <w:pPr>
        <w:pStyle w:val="TableCaption"/>
      </w:pPr>
      <w:r w:rsidRPr="005C6009">
        <w:lastRenderedPageBreak/>
        <w:t>Table 2. Comparison of CER Review Processes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2"/>
        <w:gridCol w:w="2183"/>
        <w:gridCol w:w="2198"/>
        <w:gridCol w:w="2207"/>
      </w:tblGrid>
      <w:tr w:rsidR="005C6009" w:rsidRPr="007208C8" w14:paraId="5B307966" w14:textId="77777777" w:rsidTr="004E3972">
        <w:tc>
          <w:tcPr>
            <w:tcW w:w="2254" w:type="dxa"/>
            <w:tcBorders>
              <w:top w:val="single" w:sz="4" w:space="0" w:color="auto"/>
              <w:bottom w:val="single" w:sz="4" w:space="0" w:color="auto"/>
            </w:tcBorders>
          </w:tcPr>
          <w:p w14:paraId="1F701073" w14:textId="77777777" w:rsidR="005C6009" w:rsidRPr="005C6009" w:rsidRDefault="005C6009" w:rsidP="005C6009">
            <w:pPr>
              <w:pStyle w:val="TableCell"/>
              <w:jc w:val="center"/>
            </w:pPr>
            <w:r w:rsidRPr="005C6009">
              <w:t>Review Aspect</w:t>
            </w:r>
          </w:p>
        </w:tc>
        <w:tc>
          <w:tcPr>
            <w:tcW w:w="2254" w:type="dxa"/>
            <w:tcBorders>
              <w:top w:val="single" w:sz="4" w:space="0" w:color="auto"/>
              <w:bottom w:val="single" w:sz="4" w:space="0" w:color="auto"/>
            </w:tcBorders>
          </w:tcPr>
          <w:p w14:paraId="2933C2C7" w14:textId="77777777" w:rsidR="005C6009" w:rsidRPr="005C6009" w:rsidRDefault="005C6009" w:rsidP="005C6009">
            <w:pPr>
              <w:pStyle w:val="TableCell"/>
              <w:jc w:val="center"/>
            </w:pPr>
            <w:r w:rsidRPr="005C6009">
              <w:t>Traditional Manual Review</w:t>
            </w:r>
          </w:p>
        </w:tc>
        <w:tc>
          <w:tcPr>
            <w:tcW w:w="2254" w:type="dxa"/>
            <w:tcBorders>
              <w:top w:val="single" w:sz="4" w:space="0" w:color="auto"/>
              <w:bottom w:val="single" w:sz="4" w:space="0" w:color="auto"/>
            </w:tcBorders>
          </w:tcPr>
          <w:p w14:paraId="41C40C35" w14:textId="77777777" w:rsidR="005C6009" w:rsidRPr="005C6009" w:rsidRDefault="005C6009" w:rsidP="005C6009">
            <w:pPr>
              <w:pStyle w:val="TableCell"/>
              <w:jc w:val="center"/>
            </w:pPr>
            <w:r w:rsidRPr="005C6009">
              <w:t>BDA-Assisted Review</w:t>
            </w:r>
          </w:p>
        </w:tc>
        <w:tc>
          <w:tcPr>
            <w:tcW w:w="2254" w:type="dxa"/>
            <w:tcBorders>
              <w:top w:val="single" w:sz="4" w:space="0" w:color="auto"/>
              <w:bottom w:val="single" w:sz="4" w:space="0" w:color="auto"/>
            </w:tcBorders>
          </w:tcPr>
          <w:p w14:paraId="191524C6" w14:textId="77777777" w:rsidR="005C6009" w:rsidRPr="005C6009" w:rsidRDefault="005C6009" w:rsidP="005C6009">
            <w:pPr>
              <w:pStyle w:val="TableCell"/>
              <w:jc w:val="center"/>
            </w:pPr>
            <w:r w:rsidRPr="005C6009">
              <w:t>Enhancement Provided by BDA</w:t>
            </w:r>
          </w:p>
        </w:tc>
      </w:tr>
      <w:tr w:rsidR="005C6009" w:rsidRPr="007208C8" w14:paraId="44E27EB1" w14:textId="77777777" w:rsidTr="004E3972">
        <w:tc>
          <w:tcPr>
            <w:tcW w:w="2254" w:type="dxa"/>
            <w:tcBorders>
              <w:top w:val="single" w:sz="4" w:space="0" w:color="auto"/>
            </w:tcBorders>
          </w:tcPr>
          <w:p w14:paraId="6DAE241B" w14:textId="77777777" w:rsidR="005C6009" w:rsidRPr="005C6009" w:rsidRDefault="005C6009" w:rsidP="005C6009">
            <w:pPr>
              <w:pStyle w:val="TableCell"/>
              <w:ind w:firstLine="0"/>
            </w:pPr>
            <w:r w:rsidRPr="005C6009">
              <w:t>Data Challenge</w:t>
            </w:r>
          </w:p>
        </w:tc>
        <w:tc>
          <w:tcPr>
            <w:tcW w:w="2254" w:type="dxa"/>
            <w:tcBorders>
              <w:top w:val="single" w:sz="4" w:space="0" w:color="auto"/>
            </w:tcBorders>
          </w:tcPr>
          <w:p w14:paraId="4CAC08C8" w14:textId="77777777" w:rsidR="005C6009" w:rsidRPr="005C6009" w:rsidRDefault="005C6009" w:rsidP="005C6009">
            <w:pPr>
              <w:pStyle w:val="TableCell"/>
              <w:ind w:firstLine="0"/>
            </w:pPr>
            <w:r w:rsidRPr="005C6009">
              <w:t>Manages small, pre-filtered data sets.</w:t>
            </w:r>
          </w:p>
        </w:tc>
        <w:tc>
          <w:tcPr>
            <w:tcW w:w="2254" w:type="dxa"/>
            <w:tcBorders>
              <w:top w:val="single" w:sz="4" w:space="0" w:color="auto"/>
            </w:tcBorders>
          </w:tcPr>
          <w:p w14:paraId="7ED9CCED" w14:textId="77777777" w:rsidR="005C6009" w:rsidRPr="005C6009" w:rsidRDefault="005C6009" w:rsidP="005C6009">
            <w:pPr>
              <w:pStyle w:val="TableCell"/>
              <w:ind w:firstLine="0"/>
            </w:pPr>
            <w:r w:rsidRPr="005C6009">
              <w:t>Manages large text corpora (Variety/Volume).</w:t>
            </w:r>
          </w:p>
        </w:tc>
        <w:tc>
          <w:tcPr>
            <w:tcW w:w="2254" w:type="dxa"/>
            <w:tcBorders>
              <w:top w:val="single" w:sz="4" w:space="0" w:color="auto"/>
            </w:tcBorders>
          </w:tcPr>
          <w:p w14:paraId="04978C00" w14:textId="77777777" w:rsidR="005C6009" w:rsidRPr="005C6009" w:rsidRDefault="005C6009" w:rsidP="005C6009">
            <w:pPr>
              <w:pStyle w:val="TableCell"/>
              <w:ind w:firstLine="0"/>
            </w:pPr>
            <w:r w:rsidRPr="005C6009">
              <w:t>Scalability &amp; Scope</w:t>
            </w:r>
          </w:p>
        </w:tc>
      </w:tr>
      <w:tr w:rsidR="005C6009" w:rsidRPr="007208C8" w14:paraId="29E9D5E9" w14:textId="77777777" w:rsidTr="004E3972">
        <w:tc>
          <w:tcPr>
            <w:tcW w:w="2254" w:type="dxa"/>
          </w:tcPr>
          <w:p w14:paraId="402329F6" w14:textId="77777777" w:rsidR="005C6009" w:rsidRPr="005C6009" w:rsidRDefault="005C6009" w:rsidP="005C6009">
            <w:pPr>
              <w:pStyle w:val="TableCell"/>
              <w:ind w:firstLine="0"/>
            </w:pPr>
            <w:r w:rsidRPr="005C6009">
              <w:t>Consistency</w:t>
            </w:r>
          </w:p>
        </w:tc>
        <w:tc>
          <w:tcPr>
            <w:tcW w:w="2254" w:type="dxa"/>
          </w:tcPr>
          <w:p w14:paraId="200D9E28" w14:textId="77777777" w:rsidR="005C6009" w:rsidRPr="005C6009" w:rsidRDefault="005C6009" w:rsidP="005C6009">
            <w:pPr>
              <w:pStyle w:val="TableCell"/>
              <w:ind w:firstLine="0"/>
            </w:pPr>
            <w:r w:rsidRPr="005C6009">
              <w:t>Highly dependent on individual auditor judgment and experience.</w:t>
            </w:r>
          </w:p>
        </w:tc>
        <w:tc>
          <w:tcPr>
            <w:tcW w:w="2254" w:type="dxa"/>
          </w:tcPr>
          <w:p w14:paraId="45792B90" w14:textId="0313DB00" w:rsidR="005C6009" w:rsidRPr="005C6009" w:rsidRDefault="001F647C" w:rsidP="005C6009">
            <w:pPr>
              <w:pStyle w:val="TableCell"/>
              <w:ind w:firstLine="0"/>
            </w:pPr>
            <w:proofErr w:type="spellStart"/>
            <w:r>
              <w:t>Standardised</w:t>
            </w:r>
            <w:proofErr w:type="spellEnd"/>
            <w:r w:rsidR="005C6009" w:rsidRPr="005C6009">
              <w:t xml:space="preserve"> output based on NLP rules and uniform data extraction.</w:t>
            </w:r>
          </w:p>
        </w:tc>
        <w:tc>
          <w:tcPr>
            <w:tcW w:w="2254" w:type="dxa"/>
          </w:tcPr>
          <w:p w14:paraId="548914A5" w14:textId="77777777" w:rsidR="005C6009" w:rsidRPr="005C6009" w:rsidRDefault="005C6009" w:rsidP="005C6009">
            <w:pPr>
              <w:pStyle w:val="TableCell"/>
              <w:ind w:firstLine="0"/>
            </w:pPr>
            <w:r w:rsidRPr="005C6009">
              <w:t>Veracity/Objectivity</w:t>
            </w:r>
          </w:p>
        </w:tc>
      </w:tr>
      <w:tr w:rsidR="005C6009" w:rsidRPr="007208C8" w14:paraId="45431080" w14:textId="77777777" w:rsidTr="004E3972">
        <w:tc>
          <w:tcPr>
            <w:tcW w:w="2254" w:type="dxa"/>
          </w:tcPr>
          <w:p w14:paraId="0AC00891" w14:textId="77777777" w:rsidR="005C6009" w:rsidRPr="005C6009" w:rsidRDefault="005C6009" w:rsidP="005C6009">
            <w:pPr>
              <w:pStyle w:val="TableCell"/>
              <w:ind w:firstLine="0"/>
            </w:pPr>
            <w:r w:rsidRPr="005C6009">
              <w:t>Review Time</w:t>
            </w:r>
          </w:p>
        </w:tc>
        <w:tc>
          <w:tcPr>
            <w:tcW w:w="2254" w:type="dxa"/>
          </w:tcPr>
          <w:p w14:paraId="041549A4" w14:textId="77777777" w:rsidR="005C6009" w:rsidRPr="005C6009" w:rsidRDefault="005C6009" w:rsidP="005C6009">
            <w:pPr>
              <w:pStyle w:val="TableCell"/>
              <w:ind w:firstLine="0"/>
            </w:pPr>
            <w:r w:rsidRPr="005C6009">
              <w:t>Slow, iterative process (high latency).</w:t>
            </w:r>
          </w:p>
        </w:tc>
        <w:tc>
          <w:tcPr>
            <w:tcW w:w="2254" w:type="dxa"/>
          </w:tcPr>
          <w:p w14:paraId="3FB6DD70" w14:textId="77777777" w:rsidR="005C6009" w:rsidRPr="005C6009" w:rsidRDefault="005C6009" w:rsidP="005C6009">
            <w:pPr>
              <w:pStyle w:val="TableCell"/>
              <w:ind w:firstLine="0"/>
            </w:pPr>
            <w:r w:rsidRPr="005C6009">
              <w:t>Automated pre-screening and extraction (high Velocity).</w:t>
            </w:r>
          </w:p>
        </w:tc>
        <w:tc>
          <w:tcPr>
            <w:tcW w:w="2254" w:type="dxa"/>
          </w:tcPr>
          <w:p w14:paraId="6559E8C1" w14:textId="77777777" w:rsidR="005C6009" w:rsidRPr="005C6009" w:rsidRDefault="005C6009" w:rsidP="005C6009">
            <w:pPr>
              <w:pStyle w:val="TableCell"/>
              <w:ind w:firstLine="0"/>
            </w:pPr>
            <w:r w:rsidRPr="005C6009">
              <w:t>Efficiency</w:t>
            </w:r>
          </w:p>
        </w:tc>
      </w:tr>
      <w:tr w:rsidR="005C6009" w:rsidRPr="007208C8" w14:paraId="481BF2CA" w14:textId="77777777" w:rsidTr="004E3972">
        <w:tc>
          <w:tcPr>
            <w:tcW w:w="2254" w:type="dxa"/>
          </w:tcPr>
          <w:p w14:paraId="38DCD6EB" w14:textId="77777777" w:rsidR="005C6009" w:rsidRPr="005C6009" w:rsidRDefault="005C6009" w:rsidP="005C6009">
            <w:pPr>
              <w:pStyle w:val="TableCell"/>
              <w:ind w:firstLine="0"/>
            </w:pPr>
            <w:r w:rsidRPr="005C6009">
              <w:t>Compliance Focus</w:t>
            </w:r>
          </w:p>
        </w:tc>
        <w:tc>
          <w:tcPr>
            <w:tcW w:w="2254" w:type="dxa"/>
          </w:tcPr>
          <w:p w14:paraId="0B2DB5BD" w14:textId="77777777" w:rsidR="005C6009" w:rsidRPr="005C6009" w:rsidRDefault="005C6009" w:rsidP="005C6009">
            <w:pPr>
              <w:pStyle w:val="TableCell"/>
              <w:ind w:firstLine="0"/>
            </w:pPr>
            <w:proofErr w:type="gramStart"/>
            <w:r w:rsidRPr="005C6009">
              <w:t>Reactive—checking</w:t>
            </w:r>
            <w:proofErr w:type="gramEnd"/>
            <w:r w:rsidRPr="005C6009">
              <w:t xml:space="preserve"> for document completeness.</w:t>
            </w:r>
          </w:p>
        </w:tc>
        <w:tc>
          <w:tcPr>
            <w:tcW w:w="2254" w:type="dxa"/>
          </w:tcPr>
          <w:p w14:paraId="73A1C842" w14:textId="77777777" w:rsidR="005C6009" w:rsidRPr="005C6009" w:rsidRDefault="005C6009" w:rsidP="005C6009">
            <w:pPr>
              <w:pStyle w:val="TableCell"/>
              <w:ind w:firstLine="0"/>
            </w:pPr>
            <w:r w:rsidRPr="005C6009">
              <w:t>Proactive—flagging gaps and verifying PMCF data needs.</w:t>
            </w:r>
          </w:p>
        </w:tc>
        <w:tc>
          <w:tcPr>
            <w:tcW w:w="2254" w:type="dxa"/>
          </w:tcPr>
          <w:p w14:paraId="208C7973" w14:textId="77777777" w:rsidR="005C6009" w:rsidRPr="005C6009" w:rsidRDefault="005C6009" w:rsidP="005C6009">
            <w:pPr>
              <w:pStyle w:val="TableCell"/>
              <w:ind w:firstLine="0"/>
            </w:pPr>
            <w:r w:rsidRPr="005C6009">
              <w:t>Risk Mitigation</w:t>
            </w:r>
          </w:p>
        </w:tc>
      </w:tr>
    </w:tbl>
    <w:p w14:paraId="5F985B35" w14:textId="77777777" w:rsidR="005C6009" w:rsidRPr="005C6009" w:rsidRDefault="005C6009" w:rsidP="005C6009">
      <w:pPr>
        <w:pStyle w:val="TableFootnote"/>
        <w:spacing w:before="60"/>
        <w:jc w:val="center"/>
        <w:rPr>
          <w:rFonts w:ascii="Times New Roman" w:hAnsi="Times New Roman"/>
          <w:sz w:val="16"/>
          <w:szCs w:val="16"/>
          <w:vertAlign w:val="superscript"/>
        </w:rPr>
      </w:pPr>
      <w:r w:rsidRPr="005C6009">
        <w:rPr>
          <w:rFonts w:ascii="Times New Roman" w:hAnsi="Times New Roman"/>
          <w:sz w:val="16"/>
          <w:szCs w:val="16"/>
          <w:vertAlign w:val="superscript"/>
        </w:rPr>
        <w:t>Note. This table was created by the author to illustrate the gains in efficiency and regulatory objectivity provided by integrating BDA (specifically NLP) into the CER review process.</w:t>
      </w:r>
    </w:p>
    <w:p w14:paraId="3EA2307C" w14:textId="11CFA973" w:rsidR="005C6009" w:rsidRPr="005C6009" w:rsidRDefault="005C6009" w:rsidP="00AB00F4">
      <w:pPr>
        <w:pStyle w:val="Para"/>
      </w:pPr>
      <w:r w:rsidRPr="005C6009">
        <w:t xml:space="preserve">Example: Implementing an NLP-driven CER appraisal system allows NBs to </w:t>
      </w:r>
      <w:proofErr w:type="spellStart"/>
      <w:r w:rsidR="001F647C">
        <w:t>standardise</w:t>
      </w:r>
      <w:proofErr w:type="spellEnd"/>
      <w:r w:rsidRPr="005C6009">
        <w:t xml:space="preserve"> evaluations, ensuring compliance with Annex XIV and MDCG guidance (Savage, 2023; Imran et al., 2021). For high-risk devices, predictive analytics can assess whether existing clinical data sufficiently supports benefit-risk profiles  (Niazi, 2024; </w:t>
      </w:r>
      <w:proofErr w:type="spellStart"/>
      <w:r w:rsidRPr="005C6009">
        <w:t>Abaneme</w:t>
      </w:r>
      <w:proofErr w:type="spellEnd"/>
      <w:r w:rsidRPr="005C6009">
        <w:t xml:space="preserve"> et al., 2025).</w:t>
      </w:r>
    </w:p>
    <w:p w14:paraId="49C264B1" w14:textId="77777777" w:rsidR="00257A25" w:rsidRPr="005C6009" w:rsidRDefault="00257A25" w:rsidP="005C6009">
      <w:pPr>
        <w:pStyle w:val="PostHeadPara"/>
      </w:pPr>
    </w:p>
    <w:p w14:paraId="540F07A8" w14:textId="2965382D" w:rsidR="005C6009" w:rsidRPr="005C6009" w:rsidRDefault="005C6009" w:rsidP="005C6009">
      <w:pPr>
        <w:pStyle w:val="Head2"/>
      </w:pPr>
      <w:r w:rsidRPr="005C6009">
        <w:t xml:space="preserve">Risk Management and CAPA </w:t>
      </w:r>
      <w:proofErr w:type="spellStart"/>
      <w:r w:rsidRPr="005C6009">
        <w:t>Prioriti</w:t>
      </w:r>
      <w:r>
        <w:t>s</w:t>
      </w:r>
      <w:r w:rsidRPr="005C6009">
        <w:t>ation</w:t>
      </w:r>
      <w:proofErr w:type="spellEnd"/>
    </w:p>
    <w:p w14:paraId="5FA59577" w14:textId="77777777" w:rsidR="005C6009" w:rsidRPr="005C6009" w:rsidRDefault="005C6009" w:rsidP="005C6009">
      <w:pPr>
        <w:pStyle w:val="PostHeadPara"/>
      </w:pPr>
    </w:p>
    <w:p w14:paraId="6E63E379" w14:textId="77777777" w:rsidR="005C6009" w:rsidRPr="005C6009" w:rsidRDefault="005C6009" w:rsidP="00AB00F4">
      <w:pPr>
        <w:pStyle w:val="Para"/>
      </w:pPr>
      <w:r w:rsidRPr="005C6009">
        <w:t>Risk-based approaches are central to MDR and ISO 13485 (Savage, 2023; Clemens, 2018). Big Data models can rank nonconformities by potential impact, guiding Corrective and Preventive Actions (CAPA) (</w:t>
      </w:r>
      <w:proofErr w:type="spellStart"/>
      <w:r w:rsidRPr="005C6009">
        <w:t>Abaneme</w:t>
      </w:r>
      <w:proofErr w:type="spellEnd"/>
      <w:r w:rsidRPr="005C6009">
        <w:t xml:space="preserve"> et al., 2025; Imran et al., 2021). By analysing historical audit findings and PMS signals, NBs can allocate resources to areas with the highest compliance risk (Imran et al., 2021; Khinvasara et al., 2024).</w:t>
      </w:r>
    </w:p>
    <w:p w14:paraId="091A92B8" w14:textId="77777777" w:rsidR="005C6009" w:rsidRPr="005C6009" w:rsidRDefault="005C6009" w:rsidP="005C6009">
      <w:pPr>
        <w:pStyle w:val="PostHeadPara"/>
      </w:pPr>
    </w:p>
    <w:p w14:paraId="5B7B56C3" w14:textId="77777777" w:rsidR="005C6009" w:rsidRPr="005C6009" w:rsidRDefault="005C6009" w:rsidP="00AB00F4">
      <w:pPr>
        <w:pStyle w:val="Para"/>
      </w:pPr>
      <w:r w:rsidRPr="005C6009">
        <w:t>Example: A machine learning model trained on past audit data predicts which processes are most likely to fail during surveillance, enabling proactive remediation (</w:t>
      </w:r>
      <w:proofErr w:type="spellStart"/>
      <w:r w:rsidRPr="005C6009">
        <w:t>Abaneme</w:t>
      </w:r>
      <w:proofErr w:type="spellEnd"/>
      <w:r w:rsidRPr="005C6009">
        <w:t xml:space="preserve"> et al., 2025; Imran et al., 2021).</w:t>
      </w:r>
    </w:p>
    <w:p w14:paraId="46C8B9DB" w14:textId="6B6ACE78" w:rsidR="005C6009" w:rsidRPr="005C6009" w:rsidRDefault="005C6009" w:rsidP="005C6009">
      <w:pPr>
        <w:pStyle w:val="Head2"/>
      </w:pPr>
      <w:r w:rsidRPr="005C6009">
        <w:t>Integration with Regulatory Systems</w:t>
      </w:r>
    </w:p>
    <w:p w14:paraId="1D8ECEA4" w14:textId="77777777" w:rsidR="005C6009" w:rsidRPr="005C6009" w:rsidRDefault="005C6009" w:rsidP="005C6009">
      <w:pPr>
        <w:pStyle w:val="PostHeadPara"/>
      </w:pPr>
    </w:p>
    <w:p w14:paraId="0A9A3961" w14:textId="19B065C3" w:rsidR="005C6009" w:rsidRPr="00147DD6" w:rsidRDefault="005C6009" w:rsidP="00147DD6">
      <w:pPr>
        <w:pStyle w:val="Para"/>
        <w:rPr>
          <w:lang w:val="en-GB"/>
        </w:rPr>
      </w:pPr>
      <w:r w:rsidRPr="005C6009">
        <w:t xml:space="preserve">EUDAMED, the European database for medical devices, exemplifies the scale of regulatory data (Savage, 2023; Clemens, 2018). </w:t>
      </w:r>
      <w:r w:rsidR="00147DD6" w:rsidRPr="00147DD6">
        <w:rPr>
          <w:lang w:val="en-GB"/>
        </w:rPr>
        <w:t>Big Data tools can interface with EUDAMED using scalable cloud platforms while ensuring GDPR</w:t>
      </w:r>
      <w:r w:rsidR="00147DD6" w:rsidRPr="00147DD6">
        <w:rPr>
          <w:lang w:val="en-GB"/>
        </w:rPr>
        <w:noBreakHyphen/>
        <w:t>aligned auditability (Surabhi, 2025; Shah &amp; Konda, 2025).</w:t>
      </w:r>
    </w:p>
    <w:p w14:paraId="599802DF" w14:textId="77777777" w:rsidR="005C6009" w:rsidRPr="005C6009" w:rsidRDefault="005C6009" w:rsidP="005C6009">
      <w:pPr>
        <w:pStyle w:val="PostHeadPara"/>
      </w:pPr>
    </w:p>
    <w:p w14:paraId="37B30D8A" w14:textId="77777777" w:rsidR="005C6009" w:rsidRPr="005C6009" w:rsidRDefault="005C6009" w:rsidP="005C6009">
      <w:pPr>
        <w:pStyle w:val="PostHeadPara"/>
        <w:rPr>
          <w:b/>
          <w:bCs/>
        </w:rPr>
      </w:pPr>
      <w:r w:rsidRPr="005C6009">
        <w:rPr>
          <w:b/>
          <w:bCs/>
        </w:rPr>
        <w:t>Link to Role:</w:t>
      </w:r>
    </w:p>
    <w:p w14:paraId="6B1B2984" w14:textId="77777777" w:rsidR="005C6009" w:rsidRPr="005C6009" w:rsidRDefault="005C6009" w:rsidP="005C6009">
      <w:pPr>
        <w:pStyle w:val="PostHeadPara"/>
      </w:pPr>
    </w:p>
    <w:p w14:paraId="0C14AA9D" w14:textId="57689381" w:rsidR="005C6009" w:rsidRDefault="005C6009" w:rsidP="00AB00F4">
      <w:pPr>
        <w:pStyle w:val="Para"/>
      </w:pPr>
      <w:r w:rsidRPr="005C6009">
        <w:t>Incorporating BDA into PMS and clinical evaluation workflows strengthens our ability to demonstrate competence and impartiality during accreditation audits (Imran et al., 2021; Savage, 2023).</w:t>
      </w:r>
    </w:p>
    <w:p w14:paraId="00E02287" w14:textId="77777777" w:rsidR="00972C37" w:rsidRPr="00972C37" w:rsidRDefault="00972C37" w:rsidP="00972C37">
      <w:pPr>
        <w:pStyle w:val="ParaContinue"/>
      </w:pPr>
    </w:p>
    <w:p w14:paraId="6967D8DE" w14:textId="0061855F" w:rsidR="005C6009" w:rsidRPr="005C6009" w:rsidRDefault="005C6009" w:rsidP="005C6009">
      <w:pPr>
        <w:pStyle w:val="Head1"/>
        <w:ind w:left="432" w:hanging="432"/>
      </w:pPr>
      <w:r w:rsidRPr="005C6009">
        <w:lastRenderedPageBreak/>
        <w:t>Conclusion and Recommendations</w:t>
      </w:r>
    </w:p>
    <w:p w14:paraId="4FF7A061" w14:textId="77777777" w:rsidR="005C6009" w:rsidRPr="005C6009" w:rsidRDefault="005C6009" w:rsidP="005C6009">
      <w:pPr>
        <w:pStyle w:val="PostHeadPara"/>
      </w:pPr>
    </w:p>
    <w:p w14:paraId="69D07A02" w14:textId="77777777" w:rsidR="005C6009" w:rsidRPr="005C6009" w:rsidRDefault="005C6009" w:rsidP="00AB00F4">
      <w:pPr>
        <w:pStyle w:val="Para"/>
      </w:pPr>
      <w:r w:rsidRPr="005C6009">
        <w:t xml:space="preserve">Big Data Analytics offers transformative potential for MDR compliance, enabling efficient PMS, automated clinical evidence </w:t>
      </w:r>
      <w:proofErr w:type="gramStart"/>
      <w:r w:rsidRPr="005C6009">
        <w:t>review</w:t>
      </w:r>
      <w:proofErr w:type="gramEnd"/>
      <w:r w:rsidRPr="005C6009">
        <w:t xml:space="preserve">, and predictive risk management, though challenges such as interoperability and GDPR compliance remain (Khanra et al., 2020; Imran et al., 2021; Surabhi, 2025). For Notified Bodies, adopting BDA enhances conformity assessments, supports designation requirements, and ultimately safeguards patient safety, </w:t>
      </w:r>
      <w:proofErr w:type="gramStart"/>
      <w:r w:rsidRPr="005C6009">
        <w:t>provided that</w:t>
      </w:r>
      <w:proofErr w:type="gramEnd"/>
      <w:r w:rsidRPr="005C6009">
        <w:t xml:space="preserve"> transparency and interpretability concerns are addressed through frameworks like Explainable AI (Savage, 2023; Niazi, 2024; </w:t>
      </w:r>
      <w:proofErr w:type="spellStart"/>
      <w:r w:rsidRPr="005C6009">
        <w:t>Abaneme</w:t>
      </w:r>
      <w:proofErr w:type="spellEnd"/>
      <w:r w:rsidRPr="005C6009">
        <w:t xml:space="preserve"> et al., 2025).</w:t>
      </w:r>
    </w:p>
    <w:p w14:paraId="7DE59795" w14:textId="77777777" w:rsidR="005C6009" w:rsidRPr="005C6009" w:rsidRDefault="005C6009" w:rsidP="005C6009">
      <w:pPr>
        <w:pStyle w:val="PostHeadPara"/>
      </w:pPr>
    </w:p>
    <w:p w14:paraId="6BF52ECE" w14:textId="77777777" w:rsidR="005C6009" w:rsidRPr="005C6009" w:rsidRDefault="005C6009" w:rsidP="005C6009">
      <w:pPr>
        <w:pStyle w:val="PostHeadPara"/>
        <w:rPr>
          <w:b/>
          <w:bCs/>
        </w:rPr>
      </w:pPr>
      <w:r w:rsidRPr="005C6009">
        <w:rPr>
          <w:b/>
          <w:bCs/>
        </w:rPr>
        <w:t>Future Trends:</w:t>
      </w:r>
    </w:p>
    <w:p w14:paraId="38118275" w14:textId="77777777" w:rsidR="005C6009" w:rsidRPr="005C6009" w:rsidRDefault="005C6009" w:rsidP="005C6009">
      <w:pPr>
        <w:pStyle w:val="PostHeadPara"/>
      </w:pPr>
    </w:p>
    <w:p w14:paraId="12C69275" w14:textId="77777777" w:rsidR="005C6009" w:rsidRPr="005C6009" w:rsidRDefault="005C6009" w:rsidP="005C6009">
      <w:pPr>
        <w:pStyle w:val="PostHeadPara"/>
      </w:pPr>
      <w:r w:rsidRPr="005C6009">
        <w:t>Emerging developments are expected to reshape regulatory compliance practices:</w:t>
      </w:r>
    </w:p>
    <w:p w14:paraId="66ED3EB6" w14:textId="77777777" w:rsidR="005C6009" w:rsidRPr="005C6009" w:rsidRDefault="005C6009" w:rsidP="005C6009">
      <w:pPr>
        <w:pStyle w:val="PostHeadPara"/>
      </w:pPr>
    </w:p>
    <w:p w14:paraId="368BAC67" w14:textId="77777777" w:rsidR="005C6009" w:rsidRPr="005C6009" w:rsidRDefault="005C6009" w:rsidP="005C6009">
      <w:pPr>
        <w:pStyle w:val="PostHeadPara"/>
        <w:numPr>
          <w:ilvl w:val="0"/>
          <w:numId w:val="30"/>
        </w:numPr>
      </w:pPr>
      <w:r w:rsidRPr="005C6009">
        <w:t>AI-driven compliance platforms that integrate CER, PMS, and CAPA workflows for end-to-end automation.</w:t>
      </w:r>
    </w:p>
    <w:p w14:paraId="2761AE8E" w14:textId="77777777" w:rsidR="005C6009" w:rsidRPr="005C6009" w:rsidRDefault="005C6009" w:rsidP="005C6009">
      <w:pPr>
        <w:pStyle w:val="PostHeadPara"/>
        <w:numPr>
          <w:ilvl w:val="0"/>
          <w:numId w:val="30"/>
        </w:numPr>
      </w:pPr>
      <w:r w:rsidRPr="005C6009">
        <w:t>Blockchain-based audit trails to ensure immutable records and enhance trust in conformity assessments.</w:t>
      </w:r>
    </w:p>
    <w:p w14:paraId="69724DD5" w14:textId="77777777" w:rsidR="005C6009" w:rsidRPr="005C6009" w:rsidRDefault="005C6009" w:rsidP="005C6009">
      <w:pPr>
        <w:pStyle w:val="PostHeadPara"/>
        <w:numPr>
          <w:ilvl w:val="0"/>
          <w:numId w:val="30"/>
        </w:numPr>
      </w:pPr>
      <w:r w:rsidRPr="005C6009">
        <w:t>Federated learning models enabling collaborative analytics across stakeholders without compromising data privacy.</w:t>
      </w:r>
    </w:p>
    <w:p w14:paraId="6120D2D2" w14:textId="77777777" w:rsidR="005C6009" w:rsidRPr="005C6009" w:rsidRDefault="005C6009" w:rsidP="005C6009">
      <w:pPr>
        <w:pStyle w:val="PostHeadPara"/>
      </w:pPr>
    </w:p>
    <w:p w14:paraId="4344B873" w14:textId="77777777" w:rsidR="005C6009" w:rsidRPr="005C6009" w:rsidRDefault="005C6009" w:rsidP="00AB00F4">
      <w:pPr>
        <w:pStyle w:val="Para"/>
      </w:pPr>
      <w:r w:rsidRPr="005C6009">
        <w:t>These innovations will not only improve efficiency but also address critical regulatory requirements for transparency and security.</w:t>
      </w:r>
    </w:p>
    <w:p w14:paraId="3E64FEC6" w14:textId="77777777" w:rsidR="005C6009" w:rsidRPr="005C6009" w:rsidRDefault="005C6009" w:rsidP="005C6009">
      <w:pPr>
        <w:pStyle w:val="PostHeadPara"/>
      </w:pPr>
    </w:p>
    <w:p w14:paraId="438EDA74" w14:textId="77777777" w:rsidR="005C6009" w:rsidRPr="005C6009" w:rsidRDefault="005C6009" w:rsidP="005C6009">
      <w:pPr>
        <w:pStyle w:val="PostHeadPara"/>
        <w:rPr>
          <w:b/>
          <w:bCs/>
        </w:rPr>
      </w:pPr>
      <w:r w:rsidRPr="005C6009">
        <w:rPr>
          <w:b/>
          <w:bCs/>
        </w:rPr>
        <w:t>Recommendations: Future Proofing Notified Body Competence</w:t>
      </w:r>
    </w:p>
    <w:p w14:paraId="5A5F7CE4" w14:textId="77777777" w:rsidR="005C6009" w:rsidRPr="005C6009" w:rsidRDefault="005C6009" w:rsidP="005C6009">
      <w:pPr>
        <w:pStyle w:val="PostHeadPara"/>
      </w:pPr>
    </w:p>
    <w:p w14:paraId="1C470E1F" w14:textId="77777777" w:rsidR="005C6009" w:rsidRDefault="005C6009" w:rsidP="00AB00F4">
      <w:pPr>
        <w:pStyle w:val="Para"/>
      </w:pPr>
      <w:r w:rsidRPr="005C6009">
        <w:t>To fully realise the potential of BDA and sustain Notified Body designation under Annex VII of the MDR, targeted strategic investments are required:</w:t>
      </w:r>
    </w:p>
    <w:p w14:paraId="6AF1FDCB" w14:textId="77777777" w:rsidR="005C6009" w:rsidRPr="005C6009" w:rsidRDefault="005C6009" w:rsidP="005C6009">
      <w:pPr>
        <w:pStyle w:val="PostHeadPara"/>
      </w:pPr>
    </w:p>
    <w:p w14:paraId="6CF58630" w14:textId="77777777" w:rsidR="005C6009" w:rsidRPr="005C6009" w:rsidRDefault="005C6009" w:rsidP="005C6009">
      <w:pPr>
        <w:pStyle w:val="PostHeadPara"/>
        <w:numPr>
          <w:ilvl w:val="0"/>
          <w:numId w:val="32"/>
        </w:numPr>
      </w:pPr>
      <w:r w:rsidRPr="005C6009">
        <w:t xml:space="preserve">Develop Domain-Specific NLP Tools: </w:t>
      </w:r>
      <w:proofErr w:type="spellStart"/>
      <w:r w:rsidRPr="005C6009">
        <w:t>Prioritise</w:t>
      </w:r>
      <w:proofErr w:type="spellEnd"/>
      <w:r w:rsidRPr="005C6009">
        <w:t xml:space="preserve"> the creation of robust NLP algorithms tailored specifically to the complex, </w:t>
      </w:r>
      <w:proofErr w:type="spellStart"/>
      <w:r w:rsidRPr="005C6009">
        <w:t>specialised</w:t>
      </w:r>
      <w:proofErr w:type="spellEnd"/>
      <w:r w:rsidRPr="005C6009">
        <w:t xml:space="preserve"> terminology of MDR technical documentation (CERs, PMCF, vigilance) to </w:t>
      </w:r>
      <w:proofErr w:type="spellStart"/>
      <w:r w:rsidRPr="005C6009">
        <w:t>standardise</w:t>
      </w:r>
      <w:proofErr w:type="spellEnd"/>
      <w:r w:rsidRPr="005C6009">
        <w:t xml:space="preserve"> and automate appraisal, ensuring compliance with Annex XIV.</w:t>
      </w:r>
    </w:p>
    <w:p w14:paraId="2229D1DB" w14:textId="77777777" w:rsidR="005C6009" w:rsidRPr="005C6009" w:rsidRDefault="005C6009" w:rsidP="005C6009">
      <w:pPr>
        <w:pStyle w:val="PostHeadPara"/>
        <w:numPr>
          <w:ilvl w:val="0"/>
          <w:numId w:val="32"/>
        </w:numPr>
      </w:pPr>
      <w:r w:rsidRPr="005C6009">
        <w:t>Invest in XAI and Governance: Integrate XAI frameworks into all predictive risk models to ensure regulatory interpretability and trust, supporting robust data integrity and auditability required by GDPR.</w:t>
      </w:r>
    </w:p>
    <w:p w14:paraId="2FF4E395" w14:textId="68CF47F6" w:rsidR="005C6009" w:rsidRDefault="005C6009" w:rsidP="005C6009">
      <w:pPr>
        <w:pStyle w:val="PostHeadPara"/>
        <w:numPr>
          <w:ilvl w:val="0"/>
          <w:numId w:val="32"/>
        </w:numPr>
      </w:pPr>
      <w:r w:rsidRPr="005C6009">
        <w:t>Mandate Cross-Disciplinary Training: Regulatory and auditing personnel must receive training in data science principles to effectively assess the competence and functional designs of BDA systems used by both manufacturers and the Notified Body itself.</w:t>
      </w:r>
    </w:p>
    <w:p w14:paraId="28F6773D" w14:textId="77777777" w:rsidR="00B0632F" w:rsidRDefault="00B0632F">
      <w:pPr>
        <w:rPr>
          <w:rFonts w:ascii="Linux Biolinum O" w:eastAsia="Times New Roman" w:hAnsi="Linux Biolinum O" w:cs="Linux Biolinum O"/>
          <w:b/>
          <w:bCs/>
          <w:caps/>
          <w:sz w:val="18"/>
          <w:szCs w:val="20"/>
        </w:rPr>
      </w:pPr>
      <w:r>
        <w:br w:type="page"/>
      </w:r>
    </w:p>
    <w:p w14:paraId="19A85C5E" w14:textId="73088580" w:rsidR="005C6009" w:rsidRPr="005C6009" w:rsidRDefault="005C6009" w:rsidP="005C6009">
      <w:pPr>
        <w:pStyle w:val="Head1"/>
        <w:ind w:left="432" w:hanging="432"/>
      </w:pPr>
      <w:r w:rsidRPr="005C6009">
        <w:lastRenderedPageBreak/>
        <w:t>References</w:t>
      </w:r>
    </w:p>
    <w:p w14:paraId="6AEC3493" w14:textId="77777777" w:rsidR="005C6009" w:rsidRPr="005C6009" w:rsidRDefault="005C6009" w:rsidP="005C6009">
      <w:pPr>
        <w:pStyle w:val="Bibentry"/>
        <w:numPr>
          <w:ilvl w:val="0"/>
          <w:numId w:val="0"/>
        </w:numPr>
        <w:ind w:left="360"/>
      </w:pPr>
    </w:p>
    <w:p w14:paraId="02A9CE9D" w14:textId="77777777" w:rsidR="005C6009" w:rsidRPr="005C6009" w:rsidRDefault="005C6009" w:rsidP="004F3109">
      <w:pPr>
        <w:pStyle w:val="Bibentry"/>
        <w:numPr>
          <w:ilvl w:val="0"/>
          <w:numId w:val="0"/>
        </w:numPr>
        <w:ind w:left="360"/>
        <w:jc w:val="left"/>
      </w:pPr>
      <w:proofErr w:type="spellStart"/>
      <w:r w:rsidRPr="005C6009">
        <w:t>Abaneme</w:t>
      </w:r>
      <w:proofErr w:type="spellEnd"/>
      <w:r w:rsidRPr="005C6009">
        <w:t xml:space="preserve">, O. G., Aboh, I., Moshood, M. R., &amp; </w:t>
      </w:r>
      <w:proofErr w:type="spellStart"/>
      <w:r w:rsidRPr="005C6009">
        <w:t>Assumang</w:t>
      </w:r>
      <w:proofErr w:type="spellEnd"/>
      <w:r w:rsidRPr="005C6009">
        <w:t>, D. K. (2025). Machine learning models for predictive risk assessment in healthcare IT projects. Advances in Research, 24(4), 372–384. https://doi.org/10.9734/air/2025/v26i41417</w:t>
      </w:r>
    </w:p>
    <w:p w14:paraId="4767FD08" w14:textId="217E1280" w:rsidR="005C6009" w:rsidRPr="005C6009" w:rsidRDefault="005C6009" w:rsidP="004F3109">
      <w:pPr>
        <w:pStyle w:val="Bibentry"/>
        <w:numPr>
          <w:ilvl w:val="0"/>
          <w:numId w:val="0"/>
        </w:numPr>
        <w:ind w:left="360"/>
        <w:jc w:val="left"/>
      </w:pPr>
      <w:proofErr w:type="spellStart"/>
      <w:r w:rsidRPr="005C6009">
        <w:t>Bajaber</w:t>
      </w:r>
      <w:proofErr w:type="spellEnd"/>
      <w:r w:rsidRPr="005C6009">
        <w:t xml:space="preserve">, F., </w:t>
      </w:r>
      <w:proofErr w:type="spellStart"/>
      <w:r w:rsidRPr="005C6009">
        <w:t>Elshawi</w:t>
      </w:r>
      <w:proofErr w:type="spellEnd"/>
      <w:r w:rsidRPr="005C6009">
        <w:t xml:space="preserve">, R., </w:t>
      </w:r>
      <w:proofErr w:type="spellStart"/>
      <w:r w:rsidRPr="005C6009">
        <w:t>Batarfi</w:t>
      </w:r>
      <w:proofErr w:type="spellEnd"/>
      <w:r w:rsidRPr="005C6009">
        <w:t xml:space="preserve">, O., </w:t>
      </w:r>
      <w:proofErr w:type="spellStart"/>
      <w:r w:rsidRPr="005C6009">
        <w:t>Altalhi</w:t>
      </w:r>
      <w:proofErr w:type="spellEnd"/>
      <w:r w:rsidRPr="005C6009">
        <w:t>, A., Barnawi, A., &amp; Sakr, S. (2017). Big Data 2.0 processing systems: Taxonomy and open challenges. Journal of Grid Computing, 14(3), 379–405. https://doi.org/10.1007/s10723-016-9371-1</w:t>
      </w:r>
    </w:p>
    <w:p w14:paraId="7B62E4E3" w14:textId="7FD1D7B6" w:rsidR="005C6009" w:rsidRPr="005C6009" w:rsidRDefault="005C6009" w:rsidP="004F3109">
      <w:pPr>
        <w:pStyle w:val="Bibentry"/>
        <w:numPr>
          <w:ilvl w:val="0"/>
          <w:numId w:val="0"/>
        </w:numPr>
        <w:ind w:left="360"/>
        <w:jc w:val="left"/>
      </w:pPr>
      <w:r w:rsidRPr="005C6009">
        <w:t>Clemens, N. (2018). The European medical device regulation 2017/745/EU: Changes and impact on stakeholders. Journal of Clinical Research Best Practices, 14(9), 1–7. https://www.researchgate.net/publication/327337806_The_European_Medical_Device_Regulation_2017745EU_Changes_and_Impact_on_Stakeholders</w:t>
      </w:r>
    </w:p>
    <w:p w14:paraId="1BF3C62A" w14:textId="22EEE04C" w:rsidR="005C6009" w:rsidRPr="005C6009" w:rsidRDefault="005C6009" w:rsidP="004F3109">
      <w:pPr>
        <w:pStyle w:val="Bibentry"/>
        <w:numPr>
          <w:ilvl w:val="0"/>
          <w:numId w:val="0"/>
        </w:numPr>
        <w:ind w:left="360"/>
        <w:jc w:val="left"/>
      </w:pPr>
      <w:r w:rsidRPr="005C6009">
        <w:t xml:space="preserve">Imran, S., Mahmood, T., Morshed, A., &amp; Sellis, T. (2021). Big data analytics in healthcare — A systematic literature review and roadmap for practical implementation. IEEE/CAA Journal of </w:t>
      </w:r>
      <w:proofErr w:type="spellStart"/>
      <w:r w:rsidRPr="005C6009">
        <w:t>Automatica</w:t>
      </w:r>
      <w:proofErr w:type="spellEnd"/>
      <w:r w:rsidRPr="005C6009">
        <w:t xml:space="preserve"> Sinica, 8(1), 1–22. https://doi.org/10.1109/JAS.2020.1003384</w:t>
      </w:r>
    </w:p>
    <w:p w14:paraId="7205E9BC" w14:textId="72B1CFEC" w:rsidR="005C6009" w:rsidRPr="005C6009" w:rsidRDefault="005C6009" w:rsidP="004F3109">
      <w:pPr>
        <w:pStyle w:val="Bibentry"/>
        <w:numPr>
          <w:ilvl w:val="0"/>
          <w:numId w:val="0"/>
        </w:numPr>
        <w:ind w:left="360"/>
        <w:jc w:val="left"/>
      </w:pPr>
      <w:r w:rsidRPr="005C6009">
        <w:t xml:space="preserve">Khanra, S., Dhir, A., Islam, A. K. M. N., &amp; </w:t>
      </w:r>
      <w:proofErr w:type="spellStart"/>
      <w:r w:rsidRPr="005C6009">
        <w:t>Mäntymäki</w:t>
      </w:r>
      <w:proofErr w:type="spellEnd"/>
      <w:r w:rsidRPr="005C6009">
        <w:t>, M. (2020). Big data analytics in healthcare: A systematic literature review. Enterprise Information Systems, 14(7), 878–912. https://doi.org/10.1080/17517575.2020.1812005</w:t>
      </w:r>
    </w:p>
    <w:p w14:paraId="67E4BF24" w14:textId="6EDC6EE6" w:rsidR="005C6009" w:rsidRPr="005C6009" w:rsidRDefault="005C6009" w:rsidP="004F3109">
      <w:pPr>
        <w:pStyle w:val="Bibentry"/>
        <w:numPr>
          <w:ilvl w:val="0"/>
          <w:numId w:val="0"/>
        </w:numPr>
        <w:ind w:left="360"/>
        <w:jc w:val="left"/>
      </w:pPr>
      <w:r w:rsidRPr="005C6009">
        <w:t xml:space="preserve">Khinvasara, T., </w:t>
      </w:r>
      <w:proofErr w:type="spellStart"/>
      <w:r w:rsidRPr="005C6009">
        <w:t>Tzenios</w:t>
      </w:r>
      <w:proofErr w:type="spellEnd"/>
      <w:r w:rsidRPr="005C6009">
        <w:t>, N., &amp; Shankar, A. (2024). Post-market surveillance of medical devices using AI. Journal of Complementary and Alternative Medical Research, 25(7), 108–122. https://doi.org/10.9734/jocamr/2024/v25i7552</w:t>
      </w:r>
    </w:p>
    <w:p w14:paraId="4D85AD02" w14:textId="5FB9B00D" w:rsidR="005C6009" w:rsidRPr="005C6009" w:rsidRDefault="005C6009" w:rsidP="004F3109">
      <w:pPr>
        <w:pStyle w:val="Bibentry"/>
        <w:numPr>
          <w:ilvl w:val="0"/>
          <w:numId w:val="0"/>
        </w:numPr>
        <w:ind w:left="360"/>
        <w:jc w:val="left"/>
      </w:pPr>
      <w:proofErr w:type="spellStart"/>
      <w:r w:rsidRPr="005C6009">
        <w:t>Khoshroudi</w:t>
      </w:r>
      <w:proofErr w:type="spellEnd"/>
      <w:r w:rsidRPr="005C6009">
        <w:t xml:space="preserve">, S. H. N., Safaei, A. A., &amp; </w:t>
      </w:r>
      <w:proofErr w:type="spellStart"/>
      <w:r w:rsidRPr="005C6009">
        <w:t>Soleimanjahi</w:t>
      </w:r>
      <w:proofErr w:type="spellEnd"/>
      <w:r w:rsidRPr="005C6009">
        <w:t>, H. (2025). A NoSQL document-based eCRF system for study of vaccines with variable adverse events: Case study on COVID-19 vaccines. Scientific Reports, 15, 20453. https://doi.org/10.1038/s41598-025-05746-y</w:t>
      </w:r>
    </w:p>
    <w:p w14:paraId="1C4AF2E8" w14:textId="311B56C5" w:rsidR="005C6009" w:rsidRPr="005C6009" w:rsidRDefault="005C6009" w:rsidP="004F3109">
      <w:pPr>
        <w:pStyle w:val="Bibentry"/>
        <w:numPr>
          <w:ilvl w:val="0"/>
          <w:numId w:val="0"/>
        </w:numPr>
        <w:ind w:left="360"/>
        <w:jc w:val="left"/>
      </w:pPr>
      <w:r w:rsidRPr="005C6009">
        <w:t>Melton, G. B., &amp; Hripcsak, G. (2005). Automated detection of adverse events using natural language processing of discharge summaries. Journal of the American Medical Informatics Association, 12(4), 448–457. https://doi.org/10.1197/jamia.M1794</w:t>
      </w:r>
    </w:p>
    <w:p w14:paraId="02556535" w14:textId="2A5BB2C8" w:rsidR="005C6009" w:rsidRPr="005C6009" w:rsidRDefault="005C6009" w:rsidP="004F3109">
      <w:pPr>
        <w:pStyle w:val="Bibentry"/>
        <w:numPr>
          <w:ilvl w:val="0"/>
          <w:numId w:val="0"/>
        </w:numPr>
        <w:ind w:left="360"/>
        <w:jc w:val="left"/>
      </w:pPr>
      <w:r w:rsidRPr="005C6009">
        <w:t>Niazi, S. (2024). Big data analytics with machine learning: Challenges, innovations, and applications. Journal of Engineering and Computational Intelligence Review, 2(1), 38–48. https://jecir.com/index.php/jecir/article/view/20</w:t>
      </w:r>
    </w:p>
    <w:p w14:paraId="21185B34" w14:textId="16CFF67C" w:rsidR="005C6009" w:rsidRPr="005C6009" w:rsidRDefault="005C6009" w:rsidP="004F3109">
      <w:pPr>
        <w:pStyle w:val="Bibentry"/>
        <w:numPr>
          <w:ilvl w:val="0"/>
          <w:numId w:val="0"/>
        </w:numPr>
        <w:ind w:left="360"/>
        <w:jc w:val="left"/>
      </w:pPr>
      <w:r w:rsidRPr="005C6009">
        <w:t xml:space="preserve">Omar, H. K., &amp; </w:t>
      </w:r>
      <w:proofErr w:type="spellStart"/>
      <w:r w:rsidRPr="005C6009">
        <w:t>Jumaa</w:t>
      </w:r>
      <w:proofErr w:type="spellEnd"/>
      <w:r w:rsidRPr="005C6009">
        <w:t>, A. K. (2022). Distributed big data analysis using Spark parallel data processing. Bulletin of Electrical Engineering and Informatics, 11(3), 1505–1515. https://doi.org/10.11591/eev.v11i3.3187</w:t>
      </w:r>
    </w:p>
    <w:p w14:paraId="3E6F8F2B" w14:textId="19E9D830" w:rsidR="005C6009" w:rsidRPr="005C6009" w:rsidRDefault="005C6009" w:rsidP="004F3109">
      <w:pPr>
        <w:pStyle w:val="Bibentry"/>
        <w:numPr>
          <w:ilvl w:val="0"/>
          <w:numId w:val="0"/>
        </w:numPr>
        <w:ind w:left="360"/>
        <w:jc w:val="left"/>
      </w:pPr>
      <w:r w:rsidRPr="005C6009">
        <w:t xml:space="preserve">Saqlain, M., Liaqat, R.M., Saqib, N.A., Hameed, M. (2016). A Classification Model for Predicting Heart Failure in Cardiac Patients. In: Ahmed, M., Begum, S., Raad, W. (eds) Internet of Things Technologies for HealthCare. </w:t>
      </w:r>
      <w:proofErr w:type="spellStart"/>
      <w:r w:rsidRPr="005C6009">
        <w:t>HealthyIoT</w:t>
      </w:r>
      <w:proofErr w:type="spellEnd"/>
      <w:r w:rsidRPr="005C6009">
        <w:t xml:space="preserve"> 2016. Lecture Notes of the Institute for Computer Sciences, Social Informatics and Telecommunications Engineering, vol 187. Springer, Cham. https://doi.org/10.1007/978-3-319-51234-1_6</w:t>
      </w:r>
    </w:p>
    <w:p w14:paraId="58D434B8" w14:textId="0EF1B988" w:rsidR="005C6009" w:rsidRPr="005C6009" w:rsidRDefault="005C6009" w:rsidP="004F3109">
      <w:pPr>
        <w:pStyle w:val="Bibentry"/>
        <w:numPr>
          <w:ilvl w:val="0"/>
          <w:numId w:val="0"/>
        </w:numPr>
        <w:ind w:left="360"/>
        <w:jc w:val="left"/>
      </w:pPr>
      <w:r w:rsidRPr="005C6009">
        <w:t>Savage, E. (2023). Medical device regulation 2017/745: Impact, evaluation and practices for change execution (Doctoral dissertation, University of South Wales). ProQuest Dissertations Publishing.</w:t>
      </w:r>
    </w:p>
    <w:p w14:paraId="5FF7575A" w14:textId="169B9F83" w:rsidR="005C6009" w:rsidRPr="005C6009" w:rsidRDefault="005C6009" w:rsidP="004F3109">
      <w:pPr>
        <w:pStyle w:val="Bibentry"/>
        <w:numPr>
          <w:ilvl w:val="0"/>
          <w:numId w:val="0"/>
        </w:numPr>
        <w:ind w:left="360"/>
        <w:jc w:val="left"/>
      </w:pPr>
      <w:r w:rsidRPr="00A47D1B">
        <w:rPr>
          <w:lang w:val="en-GB"/>
        </w:rPr>
        <w:t xml:space="preserve">Shah, V., &amp; Konda, S. R. (2025). </w:t>
      </w:r>
      <w:r w:rsidRPr="005C6009">
        <w:t>Cloud computing in healthcare: Opportunities, risks, and compliance. ResearchGate. https://www.researchgate.net/publication/378396122</w:t>
      </w:r>
    </w:p>
    <w:p w14:paraId="2EDEEFBD" w14:textId="07723C30" w:rsidR="005C6009" w:rsidRPr="005C6009" w:rsidRDefault="005C6009" w:rsidP="004F3109">
      <w:pPr>
        <w:pStyle w:val="Bibentry"/>
        <w:numPr>
          <w:ilvl w:val="0"/>
          <w:numId w:val="0"/>
        </w:numPr>
        <w:ind w:left="360"/>
        <w:jc w:val="left"/>
      </w:pPr>
      <w:r w:rsidRPr="005C6009">
        <w:t>Shahnawaz, M., &amp; Kumar, M. (2025). A comprehensive survey on big data analytics: Characteristics, tools and techniques. ACM Computing Surveys, 57(8), 1–33. https://doi.org/10.1145/3718364</w:t>
      </w:r>
    </w:p>
    <w:p w14:paraId="399FE98C" w14:textId="59B481DE" w:rsidR="005C6009" w:rsidRPr="005C6009" w:rsidRDefault="005C6009" w:rsidP="004F3109">
      <w:pPr>
        <w:pStyle w:val="Bibentry"/>
        <w:numPr>
          <w:ilvl w:val="0"/>
          <w:numId w:val="0"/>
        </w:numPr>
        <w:ind w:left="360"/>
        <w:jc w:val="left"/>
      </w:pPr>
      <w:r w:rsidRPr="005C6009">
        <w:t>Surabhi, P. K. (2025). Regulatory compliance and security in healthcare cloud migration. World Journal of Advanced Research and Reviews, 26(2), 724–733. https://doi.org/10.30574/wjarr.2025.26.2.1698</w:t>
      </w:r>
    </w:p>
    <w:p w14:paraId="46CF6910" w14:textId="446D3A88" w:rsidR="005C6009" w:rsidRPr="005C6009" w:rsidRDefault="005C6009" w:rsidP="004F3109">
      <w:pPr>
        <w:pStyle w:val="Bibentry"/>
        <w:numPr>
          <w:ilvl w:val="0"/>
          <w:numId w:val="0"/>
        </w:numPr>
        <w:ind w:left="360"/>
        <w:jc w:val="left"/>
      </w:pPr>
      <w:proofErr w:type="spellStart"/>
      <w:r w:rsidRPr="005C6009">
        <w:t>Thallam</w:t>
      </w:r>
      <w:proofErr w:type="spellEnd"/>
      <w:r w:rsidRPr="005C6009">
        <w:t>, N. S. T. (2023). Comparative analysis of public cloud providers for big data analytics: AWS, Azure, and Google Cloud. International Journal of AI, Bigdata, Computational and Management Studies, 4(3), 18–29. https://doi.org/10.63282/3050-9416.IJAIBDCMS-V4I3P103</w:t>
      </w:r>
    </w:p>
    <w:p w14:paraId="7F791048" w14:textId="06CA4F38" w:rsidR="005C6009" w:rsidRPr="005C6009" w:rsidRDefault="005C6009" w:rsidP="004F3109">
      <w:pPr>
        <w:pStyle w:val="Bibentry"/>
        <w:numPr>
          <w:ilvl w:val="0"/>
          <w:numId w:val="0"/>
        </w:numPr>
        <w:ind w:left="360"/>
        <w:jc w:val="left"/>
      </w:pPr>
      <w:r w:rsidRPr="005C6009">
        <w:t xml:space="preserve">Zheng, Y., Song, Y., </w:t>
      </w:r>
      <w:proofErr w:type="spellStart"/>
      <w:r w:rsidRPr="005C6009">
        <w:t>Iturrate</w:t>
      </w:r>
      <w:proofErr w:type="spellEnd"/>
      <w:r w:rsidRPr="005C6009">
        <w:t>, E., Wu, B., Zweig, S., &amp; Johnson, S. B. (2025). Natural language processing for automated extraction of continuous glucose monitoring data. Diabetes Care, 48(12), 2138–2144. https://doi.org/10.2337/dc25-1595</w:t>
      </w:r>
    </w:p>
    <w:p w14:paraId="45E9019F" w14:textId="09E7DABA" w:rsidR="00B0632F" w:rsidRDefault="00B0632F">
      <w:pPr>
        <w:rPr>
          <w:rFonts w:ascii="Linux Biolinum O" w:eastAsia="Times New Roman" w:hAnsi="Linux Biolinum O" w:cs="Linux Biolinum O"/>
          <w:b/>
          <w:bCs/>
          <w:caps/>
          <w:sz w:val="18"/>
          <w:szCs w:val="20"/>
        </w:rPr>
      </w:pPr>
    </w:p>
    <w:sectPr w:rsidR="00B0632F" w:rsidSect="00B601F5">
      <w:footerReference w:type="default" r:id="rId14"/>
      <w:footerReference w:type="first" r:id="rId15"/>
      <w:pgSz w:w="12240" w:h="15840"/>
      <w:pgMar w:top="1760" w:right="2040" w:bottom="2552"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B6D06" w14:textId="77777777" w:rsidR="006B696A" w:rsidRDefault="006B696A" w:rsidP="005B434B">
      <w:pPr>
        <w:spacing w:after="0" w:line="240" w:lineRule="auto"/>
      </w:pPr>
      <w:r>
        <w:separator/>
      </w:r>
    </w:p>
  </w:endnote>
  <w:endnote w:type="continuationSeparator" w:id="0">
    <w:p w14:paraId="00C308BF" w14:textId="77777777" w:rsidR="006B696A" w:rsidRDefault="006B696A"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Arial"/>
    <w:panose1 w:val="00000000000000000000"/>
    <w:charset w:val="00"/>
    <w:family w:val="auto"/>
    <w:notTrueType/>
    <w:pitch w:val="variable"/>
    <w:sig w:usb0="E0000AFF"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Arial"/>
    <w:panose1 w:val="00000000000000000000"/>
    <w:charset w:val="00"/>
    <w:family w:val="auto"/>
    <w:notTrueType/>
    <w:pitch w:val="variable"/>
    <w:sig w:usb0="E0000AFF"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Times New Roman"/>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A7B9" w14:textId="77777777" w:rsidR="009B294A" w:rsidRDefault="00737F1F" w:rsidP="00894B43">
    <w:pPr>
      <w:pStyle w:val="Footer"/>
      <w:jc w:val="center"/>
    </w:pPr>
    <w:r>
      <w:fldChar w:fldCharType="begin"/>
    </w:r>
    <w:r>
      <w:instrText xml:space="preserve"> PAGE   \* MERGEFORMAT </w:instrText>
    </w:r>
    <w:r>
      <w:fldChar w:fldCharType="separate"/>
    </w:r>
    <w:r w:rsidR="00C72BF8">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FCEC" w14:textId="77777777" w:rsidR="009B294A" w:rsidRDefault="009B294A">
    <w:pPr>
      <w:pStyle w:val="Footer"/>
    </w:pPr>
  </w:p>
  <w:p w14:paraId="21F6C9CC" w14:textId="77777777" w:rsidR="009B294A" w:rsidRDefault="009B294A">
    <w:pPr>
      <w:pStyle w:val="Footer"/>
    </w:pPr>
  </w:p>
  <w:p w14:paraId="1E7AC1B7" w14:textId="77777777" w:rsidR="009B294A" w:rsidRDefault="009B294A">
    <w:pPr>
      <w:pStyle w:val="Footer"/>
    </w:pPr>
  </w:p>
  <w:p w14:paraId="66665694" w14:textId="77777777" w:rsidR="009B294A" w:rsidRDefault="009B294A">
    <w:pPr>
      <w:pStyle w:val="Footer"/>
    </w:pPr>
  </w:p>
  <w:p w14:paraId="7F146871" w14:textId="77777777" w:rsidR="009B294A" w:rsidRDefault="009B29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19EA7" w14:textId="77777777" w:rsidR="006B696A" w:rsidRDefault="006B696A" w:rsidP="005B434B">
      <w:pPr>
        <w:spacing w:after="0" w:line="240" w:lineRule="auto"/>
      </w:pPr>
      <w:r>
        <w:separator/>
      </w:r>
    </w:p>
  </w:footnote>
  <w:footnote w:type="continuationSeparator" w:id="0">
    <w:p w14:paraId="6CC93A61" w14:textId="77777777" w:rsidR="006B696A" w:rsidRDefault="006B696A"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56F07B80"/>
    <w:multiLevelType w:val="multilevel"/>
    <w:tmpl w:val="42B4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5B1685"/>
    <w:multiLevelType w:val="hybridMultilevel"/>
    <w:tmpl w:val="39C6A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2"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77822D7"/>
    <w:multiLevelType w:val="multilevel"/>
    <w:tmpl w:val="9DC4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5"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2A176B"/>
    <w:multiLevelType w:val="hybridMultilevel"/>
    <w:tmpl w:val="4A4E0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DE229EA"/>
    <w:multiLevelType w:val="hybridMultilevel"/>
    <w:tmpl w:val="8250B82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95851974">
    <w:abstractNumId w:val="0"/>
  </w:num>
  <w:num w:numId="2" w16cid:durableId="1856574783">
    <w:abstractNumId w:val="16"/>
  </w:num>
  <w:num w:numId="3" w16cid:durableId="1471901037">
    <w:abstractNumId w:val="11"/>
  </w:num>
  <w:num w:numId="4" w16cid:durableId="163129258">
    <w:abstractNumId w:val="1"/>
  </w:num>
  <w:num w:numId="5" w16cid:durableId="349911281">
    <w:abstractNumId w:val="3"/>
  </w:num>
  <w:num w:numId="6" w16cid:durableId="756175225">
    <w:abstractNumId w:val="6"/>
  </w:num>
  <w:num w:numId="7" w16cid:durableId="996417424">
    <w:abstractNumId w:val="14"/>
  </w:num>
  <w:num w:numId="8" w16cid:durableId="1000040532">
    <w:abstractNumId w:val="2"/>
  </w:num>
  <w:num w:numId="9" w16cid:durableId="1365522474">
    <w:abstractNumId w:val="7"/>
  </w:num>
  <w:num w:numId="10" w16cid:durableId="1337997361">
    <w:abstractNumId w:val="17"/>
  </w:num>
  <w:num w:numId="11" w16cid:durableId="21247075">
    <w:abstractNumId w:val="5"/>
  </w:num>
  <w:num w:numId="12" w16cid:durableId="1028411476">
    <w:abstractNumId w:val="15"/>
  </w:num>
  <w:num w:numId="13" w16cid:durableId="108935056">
    <w:abstractNumId w:val="8"/>
  </w:num>
  <w:num w:numId="14" w16cid:durableId="2099205952">
    <w:abstractNumId w:val="4"/>
  </w:num>
  <w:num w:numId="15" w16cid:durableId="741567907">
    <w:abstractNumId w:val="12"/>
  </w:num>
  <w:num w:numId="16" w16cid:durableId="1317805420">
    <w:abstractNumId w:val="4"/>
  </w:num>
  <w:num w:numId="17" w16cid:durableId="1093549415">
    <w:abstractNumId w:val="4"/>
  </w:num>
  <w:num w:numId="18" w16cid:durableId="192307407">
    <w:abstractNumId w:val="4"/>
  </w:num>
  <w:num w:numId="19" w16cid:durableId="504709827">
    <w:abstractNumId w:val="4"/>
  </w:num>
  <w:num w:numId="20" w16cid:durableId="382099224">
    <w:abstractNumId w:val="4"/>
  </w:num>
  <w:num w:numId="21" w16cid:durableId="1914663491">
    <w:abstractNumId w:val="4"/>
  </w:num>
  <w:num w:numId="22" w16cid:durableId="300158430">
    <w:abstractNumId w:val="4"/>
  </w:num>
  <w:num w:numId="23" w16cid:durableId="1117023352">
    <w:abstractNumId w:val="4"/>
  </w:num>
  <w:num w:numId="24" w16cid:durableId="1583903911">
    <w:abstractNumId w:val="4"/>
  </w:num>
  <w:num w:numId="25" w16cid:durableId="1479299294">
    <w:abstractNumId w:val="9"/>
  </w:num>
  <w:num w:numId="26" w16cid:durableId="1308126286">
    <w:abstractNumId w:val="13"/>
  </w:num>
  <w:num w:numId="27" w16cid:durableId="1447889437">
    <w:abstractNumId w:val="4"/>
  </w:num>
  <w:num w:numId="28" w16cid:durableId="701516954">
    <w:abstractNumId w:val="4"/>
  </w:num>
  <w:num w:numId="29" w16cid:durableId="368576919">
    <w:abstractNumId w:val="4"/>
  </w:num>
  <w:num w:numId="30" w16cid:durableId="91515119">
    <w:abstractNumId w:val="18"/>
  </w:num>
  <w:num w:numId="31" w16cid:durableId="1629122772">
    <w:abstractNumId w:val="10"/>
  </w:num>
  <w:num w:numId="32" w16cid:durableId="608782919">
    <w:abstractNumId w:val="19"/>
  </w:num>
  <w:num w:numId="33" w16cid:durableId="1936589577">
    <w:abstractNumId w:val="4"/>
  </w:num>
  <w:num w:numId="34" w16cid:durableId="6251635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01173"/>
    <w:rsid w:val="0002746E"/>
    <w:rsid w:val="00054E0A"/>
    <w:rsid w:val="00080C59"/>
    <w:rsid w:val="0008391F"/>
    <w:rsid w:val="0009314B"/>
    <w:rsid w:val="000A5202"/>
    <w:rsid w:val="000D6541"/>
    <w:rsid w:val="000F4E3C"/>
    <w:rsid w:val="000F6B6B"/>
    <w:rsid w:val="001142BA"/>
    <w:rsid w:val="00147DD6"/>
    <w:rsid w:val="001754DD"/>
    <w:rsid w:val="001A2D86"/>
    <w:rsid w:val="001B633D"/>
    <w:rsid w:val="001C6FC6"/>
    <w:rsid w:val="001C7939"/>
    <w:rsid w:val="001E44F1"/>
    <w:rsid w:val="001F5EC6"/>
    <w:rsid w:val="001F647C"/>
    <w:rsid w:val="002065FE"/>
    <w:rsid w:val="0022111E"/>
    <w:rsid w:val="0023048B"/>
    <w:rsid w:val="00231DBC"/>
    <w:rsid w:val="00257A25"/>
    <w:rsid w:val="002601C2"/>
    <w:rsid w:val="00277C30"/>
    <w:rsid w:val="0029158F"/>
    <w:rsid w:val="002920B1"/>
    <w:rsid w:val="00292C1F"/>
    <w:rsid w:val="00296257"/>
    <w:rsid w:val="002B09AC"/>
    <w:rsid w:val="002C37CC"/>
    <w:rsid w:val="002E204E"/>
    <w:rsid w:val="002F3B69"/>
    <w:rsid w:val="002F4343"/>
    <w:rsid w:val="002F58C9"/>
    <w:rsid w:val="002F5B40"/>
    <w:rsid w:val="0033362D"/>
    <w:rsid w:val="00340671"/>
    <w:rsid w:val="003A253B"/>
    <w:rsid w:val="003B01AF"/>
    <w:rsid w:val="00406C2F"/>
    <w:rsid w:val="004202BF"/>
    <w:rsid w:val="0043528C"/>
    <w:rsid w:val="00457C1D"/>
    <w:rsid w:val="004A36D4"/>
    <w:rsid w:val="004D3296"/>
    <w:rsid w:val="004F3109"/>
    <w:rsid w:val="005014EF"/>
    <w:rsid w:val="00505B59"/>
    <w:rsid w:val="0051030D"/>
    <w:rsid w:val="00547F6A"/>
    <w:rsid w:val="00582FCB"/>
    <w:rsid w:val="0059393E"/>
    <w:rsid w:val="005B434B"/>
    <w:rsid w:val="005C3905"/>
    <w:rsid w:val="005C3913"/>
    <w:rsid w:val="005C4C80"/>
    <w:rsid w:val="005C6009"/>
    <w:rsid w:val="006445F6"/>
    <w:rsid w:val="006B696A"/>
    <w:rsid w:val="006C08C9"/>
    <w:rsid w:val="006C16D0"/>
    <w:rsid w:val="00703E96"/>
    <w:rsid w:val="00720F9D"/>
    <w:rsid w:val="00737F1F"/>
    <w:rsid w:val="007A474A"/>
    <w:rsid w:val="0081437E"/>
    <w:rsid w:val="0087426B"/>
    <w:rsid w:val="008D14C0"/>
    <w:rsid w:val="0091003E"/>
    <w:rsid w:val="00920182"/>
    <w:rsid w:val="0094120C"/>
    <w:rsid w:val="00941A5A"/>
    <w:rsid w:val="009641B8"/>
    <w:rsid w:val="00972C37"/>
    <w:rsid w:val="00996C99"/>
    <w:rsid w:val="009B294A"/>
    <w:rsid w:val="009B3115"/>
    <w:rsid w:val="009B58A0"/>
    <w:rsid w:val="009B76D7"/>
    <w:rsid w:val="009E0B76"/>
    <w:rsid w:val="009F0947"/>
    <w:rsid w:val="009F684F"/>
    <w:rsid w:val="00A01C24"/>
    <w:rsid w:val="00A16860"/>
    <w:rsid w:val="00A27A9F"/>
    <w:rsid w:val="00A3685D"/>
    <w:rsid w:val="00A47D1B"/>
    <w:rsid w:val="00A55475"/>
    <w:rsid w:val="00A6011A"/>
    <w:rsid w:val="00AB00F4"/>
    <w:rsid w:val="00AB1067"/>
    <w:rsid w:val="00AB188E"/>
    <w:rsid w:val="00AC4C67"/>
    <w:rsid w:val="00AD6C5E"/>
    <w:rsid w:val="00AF5390"/>
    <w:rsid w:val="00B0632F"/>
    <w:rsid w:val="00B24E72"/>
    <w:rsid w:val="00B542AC"/>
    <w:rsid w:val="00B601F5"/>
    <w:rsid w:val="00BA62EE"/>
    <w:rsid w:val="00BC6F64"/>
    <w:rsid w:val="00BD04E6"/>
    <w:rsid w:val="00BE6410"/>
    <w:rsid w:val="00C72BF8"/>
    <w:rsid w:val="00CA710D"/>
    <w:rsid w:val="00CC622A"/>
    <w:rsid w:val="00CE6988"/>
    <w:rsid w:val="00D04B1D"/>
    <w:rsid w:val="00D07298"/>
    <w:rsid w:val="00D925E2"/>
    <w:rsid w:val="00DA1CE2"/>
    <w:rsid w:val="00DF0EB9"/>
    <w:rsid w:val="00E037CD"/>
    <w:rsid w:val="00E55E8D"/>
    <w:rsid w:val="00E66295"/>
    <w:rsid w:val="00E67272"/>
    <w:rsid w:val="00E8234D"/>
    <w:rsid w:val="00E91690"/>
    <w:rsid w:val="00E92194"/>
    <w:rsid w:val="00ED1B2E"/>
    <w:rsid w:val="00ED2AB7"/>
    <w:rsid w:val="00EF52F8"/>
    <w:rsid w:val="00EF7C84"/>
    <w:rsid w:val="00F07897"/>
    <w:rsid w:val="00F1221E"/>
    <w:rsid w:val="00F46728"/>
    <w:rsid w:val="00F570F1"/>
    <w:rsid w:val="00F63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4A393"/>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CE6988"/>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1030D"/>
    <w:rPr>
      <w:rFonts w:ascii="Linux Biolinum O" w:eastAsia="Cambria" w:hAnsi="Linux Biolinum O" w:cs="Linux Biolinum O"/>
      <w:b/>
      <w:bCs/>
      <w:sz w:val="16"/>
      <w:szCs w:val="24"/>
      <w:lang w:eastAsia="ja-JP"/>
    </w:rPr>
  </w:style>
  <w:style w:type="paragraph" w:customStyle="1" w:styleId="TableCaption">
    <w:name w:val="TableCaption"/>
    <w:link w:val="TableCaptionChar"/>
    <w:autoRedefine/>
    <w:rsid w:val="0051030D"/>
    <w:pPr>
      <w:keepNext/>
      <w:spacing w:before="180" w:after="120" w:line="200" w:lineRule="atLeast"/>
      <w:jc w:val="center"/>
    </w:pPr>
    <w:rPr>
      <w:rFonts w:ascii="Linux Biolinum O" w:eastAsia="Cambria" w:hAnsi="Linux Biolinum O" w:cs="Linux Biolinum O"/>
      <w:b/>
      <w:bCs/>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3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paragraph" w:customStyle="1" w:styleId="Normal1">
    <w:name w:val="Normal1"/>
    <w:basedOn w:val="Normal"/>
    <w:qFormat/>
    <w:rsid w:val="00703E96"/>
    <w:pPr>
      <w:spacing w:after="0" w:line="264" w:lineRule="auto"/>
      <w:jc w:val="both"/>
    </w:pPr>
    <w:rPr>
      <w:rFonts w:ascii="Linux Libertine" w:hAnsi="Linux Libertine" w:cs="Linux Libertine"/>
      <w:sz w:val="18"/>
    </w:rPr>
  </w:style>
  <w:style w:type="paragraph" w:styleId="Header">
    <w:name w:val="header"/>
    <w:basedOn w:val="Normal"/>
    <w:link w:val="HeaderChar"/>
    <w:uiPriority w:val="99"/>
    <w:unhideWhenUsed/>
    <w:rsid w:val="00AB00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0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diagramLayout" Target="diagrams/layout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11A3185-5A25-4031-8B4F-DEFABAF29AED}"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n-GB"/>
        </a:p>
      </dgm:t>
    </dgm:pt>
    <dgm:pt modelId="{6BE61D1E-F464-4F4C-A35D-E50CD9FAC8EC}">
      <dgm:prSet phldrT="[Text]"/>
      <dgm:spPr/>
      <dgm:t>
        <a:bodyPr/>
        <a:lstStyle/>
        <a:p>
          <a:pPr algn="ctr"/>
          <a:r>
            <a:rPr lang="en-GB"/>
            <a:t>Stage 1: Data Sources (Variety)</a:t>
          </a:r>
        </a:p>
      </dgm:t>
    </dgm:pt>
    <dgm:pt modelId="{4613B4D5-E3AD-421F-9946-23DB9F219B06}" type="parTrans" cxnId="{FEBF301B-3CC8-4D1C-B9B2-D22195971E4F}">
      <dgm:prSet/>
      <dgm:spPr/>
      <dgm:t>
        <a:bodyPr/>
        <a:lstStyle/>
        <a:p>
          <a:pPr algn="ctr"/>
          <a:endParaRPr lang="en-GB"/>
        </a:p>
      </dgm:t>
    </dgm:pt>
    <dgm:pt modelId="{35D47316-B9FD-4AAE-A23D-0CC2ECDA58B5}" type="sibTrans" cxnId="{FEBF301B-3CC8-4D1C-B9B2-D22195971E4F}">
      <dgm:prSet/>
      <dgm:spPr/>
      <dgm:t>
        <a:bodyPr/>
        <a:lstStyle/>
        <a:p>
          <a:pPr algn="ctr"/>
          <a:endParaRPr lang="en-GB"/>
        </a:p>
      </dgm:t>
    </dgm:pt>
    <dgm:pt modelId="{0511AE37-25B9-4B84-AEFE-B67EFA4D8416}">
      <dgm:prSet phldrT="[Text]"/>
      <dgm:spPr/>
      <dgm:t>
        <a:bodyPr/>
        <a:lstStyle/>
        <a:p>
          <a:pPr algn="ctr"/>
          <a:r>
            <a:rPr lang="en-GB"/>
            <a:t>Stage 2: BDA Processing (Veracity/Velocity)</a:t>
          </a:r>
        </a:p>
      </dgm:t>
    </dgm:pt>
    <dgm:pt modelId="{0E017C87-61B4-45FA-977C-5BD36A378925}" type="parTrans" cxnId="{8EEE0DEB-88A8-4AEA-A701-A493E0ADCFD7}">
      <dgm:prSet/>
      <dgm:spPr/>
      <dgm:t>
        <a:bodyPr/>
        <a:lstStyle/>
        <a:p>
          <a:pPr algn="ctr"/>
          <a:endParaRPr lang="en-GB"/>
        </a:p>
      </dgm:t>
    </dgm:pt>
    <dgm:pt modelId="{D51F10A3-1185-4EFF-8007-E7C9C4B93299}" type="sibTrans" cxnId="{8EEE0DEB-88A8-4AEA-A701-A493E0ADCFD7}">
      <dgm:prSet/>
      <dgm:spPr/>
      <dgm:t>
        <a:bodyPr/>
        <a:lstStyle/>
        <a:p>
          <a:pPr algn="ctr"/>
          <a:endParaRPr lang="en-GB"/>
        </a:p>
      </dgm:t>
    </dgm:pt>
    <dgm:pt modelId="{5467FAF3-1440-4862-94B8-6F829DDF02F2}">
      <dgm:prSet phldrT="[Text]"/>
      <dgm:spPr/>
      <dgm:t>
        <a:bodyPr/>
        <a:lstStyle/>
        <a:p>
          <a:pPr algn="ctr"/>
          <a:r>
            <a:rPr lang="en-GB"/>
            <a:t>Stream Processing (e.g., Apache Spark)</a:t>
          </a:r>
        </a:p>
      </dgm:t>
    </dgm:pt>
    <dgm:pt modelId="{BF377029-1FD9-4178-A72A-728CD1F74105}" type="parTrans" cxnId="{42660493-FE27-460F-B36B-2BF0679E4F73}">
      <dgm:prSet/>
      <dgm:spPr/>
      <dgm:t>
        <a:bodyPr/>
        <a:lstStyle/>
        <a:p>
          <a:pPr algn="ctr"/>
          <a:endParaRPr lang="en-GB"/>
        </a:p>
      </dgm:t>
    </dgm:pt>
    <dgm:pt modelId="{3CF7E8B8-4FF2-4E7D-9039-A6AB09F11C8B}" type="sibTrans" cxnId="{42660493-FE27-460F-B36B-2BF0679E4F73}">
      <dgm:prSet/>
      <dgm:spPr/>
      <dgm:t>
        <a:bodyPr/>
        <a:lstStyle/>
        <a:p>
          <a:pPr algn="ctr"/>
          <a:endParaRPr lang="en-GB"/>
        </a:p>
      </dgm:t>
    </dgm:pt>
    <dgm:pt modelId="{4B9CA5E3-86C8-40DA-84A3-E1122FEEFEC4}">
      <dgm:prSet phldrT="[Text]"/>
      <dgm:spPr/>
      <dgm:t>
        <a:bodyPr/>
        <a:lstStyle/>
        <a:p>
          <a:pPr algn="ctr"/>
          <a:r>
            <a:rPr lang="en-GB"/>
            <a:t>Stage 3: Output/Action (Validity)</a:t>
          </a:r>
        </a:p>
      </dgm:t>
    </dgm:pt>
    <dgm:pt modelId="{900E5FBA-DDB8-461E-AD5C-92A2D7479FD8}" type="parTrans" cxnId="{E3B8A77E-364D-4603-B350-355A3CCD3FC7}">
      <dgm:prSet/>
      <dgm:spPr/>
      <dgm:t>
        <a:bodyPr/>
        <a:lstStyle/>
        <a:p>
          <a:pPr algn="ctr"/>
          <a:endParaRPr lang="en-GB"/>
        </a:p>
      </dgm:t>
    </dgm:pt>
    <dgm:pt modelId="{3D22005B-30AD-4FBB-8F27-533517624BEA}" type="sibTrans" cxnId="{E3B8A77E-364D-4603-B350-355A3CCD3FC7}">
      <dgm:prSet/>
      <dgm:spPr/>
      <dgm:t>
        <a:bodyPr/>
        <a:lstStyle/>
        <a:p>
          <a:pPr algn="ctr"/>
          <a:endParaRPr lang="en-GB"/>
        </a:p>
      </dgm:t>
    </dgm:pt>
    <dgm:pt modelId="{56BAA5BA-C4F5-44FE-BF69-8FC41A222390}">
      <dgm:prSet phldrT="[Text]"/>
      <dgm:spPr/>
      <dgm:t>
        <a:bodyPr/>
        <a:lstStyle/>
        <a:p>
          <a:pPr algn="ctr"/>
          <a:r>
            <a:rPr lang="en-GB"/>
            <a:t>Risk Dashboard</a:t>
          </a:r>
        </a:p>
      </dgm:t>
    </dgm:pt>
    <dgm:pt modelId="{62F02713-B8C9-46AF-B85F-53199CC87F67}" type="parTrans" cxnId="{AB4BA7DB-D34A-4EB6-9434-486E735B99C3}">
      <dgm:prSet/>
      <dgm:spPr/>
      <dgm:t>
        <a:bodyPr/>
        <a:lstStyle/>
        <a:p>
          <a:pPr algn="ctr"/>
          <a:endParaRPr lang="en-GB"/>
        </a:p>
      </dgm:t>
    </dgm:pt>
    <dgm:pt modelId="{D1E570B4-3EB5-4441-8329-F47D67EE5B23}" type="sibTrans" cxnId="{AB4BA7DB-D34A-4EB6-9434-486E735B99C3}">
      <dgm:prSet/>
      <dgm:spPr/>
      <dgm:t>
        <a:bodyPr/>
        <a:lstStyle/>
        <a:p>
          <a:pPr algn="ctr"/>
          <a:endParaRPr lang="en-GB"/>
        </a:p>
      </dgm:t>
    </dgm:pt>
    <dgm:pt modelId="{1205C9D6-105D-4F37-86B2-F483341991C9}">
      <dgm:prSet phldrT="[Text]"/>
      <dgm:spPr/>
      <dgm:t>
        <a:bodyPr/>
        <a:lstStyle/>
        <a:p>
          <a:pPr algn="ctr"/>
          <a:r>
            <a:rPr lang="en-GB"/>
            <a:t>Semi-Structured: Manufacturer Complaint Files</a:t>
          </a:r>
        </a:p>
      </dgm:t>
    </dgm:pt>
    <dgm:pt modelId="{B35782EC-9492-4EE7-813B-3A519B69B391}" type="parTrans" cxnId="{771267F7-01C4-47CA-BF69-EDAE24CEDD6D}">
      <dgm:prSet/>
      <dgm:spPr/>
      <dgm:t>
        <a:bodyPr/>
        <a:lstStyle/>
        <a:p>
          <a:pPr algn="ctr"/>
          <a:endParaRPr lang="en-GB"/>
        </a:p>
      </dgm:t>
    </dgm:pt>
    <dgm:pt modelId="{83C8C4AB-D635-4697-A39A-F26A49AD0975}" type="sibTrans" cxnId="{771267F7-01C4-47CA-BF69-EDAE24CEDD6D}">
      <dgm:prSet/>
      <dgm:spPr/>
      <dgm:t>
        <a:bodyPr/>
        <a:lstStyle/>
        <a:p>
          <a:pPr algn="ctr"/>
          <a:endParaRPr lang="en-GB"/>
        </a:p>
      </dgm:t>
    </dgm:pt>
    <dgm:pt modelId="{A1543585-8558-4686-AD1F-CFAE5A30E2D7}">
      <dgm:prSet phldrT="[Text]"/>
      <dgm:spPr/>
      <dgm:t>
        <a:bodyPr/>
        <a:lstStyle/>
        <a:p>
          <a:pPr algn="ctr"/>
          <a:r>
            <a:rPr lang="en-GB"/>
            <a:t>Unstructured: Social Media, Literature, Email Reports</a:t>
          </a:r>
        </a:p>
      </dgm:t>
    </dgm:pt>
    <dgm:pt modelId="{8DC2F8F2-60A0-42F0-9400-AB6310B2BAEF}" type="parTrans" cxnId="{C669C0F7-935B-4A07-AEFD-1CE69577BAB6}">
      <dgm:prSet/>
      <dgm:spPr/>
      <dgm:t>
        <a:bodyPr/>
        <a:lstStyle/>
        <a:p>
          <a:pPr algn="ctr"/>
          <a:endParaRPr lang="en-GB"/>
        </a:p>
      </dgm:t>
    </dgm:pt>
    <dgm:pt modelId="{F2C0117B-A1CE-4B29-B1C8-8CB5C90ED4B7}" type="sibTrans" cxnId="{C669C0F7-935B-4A07-AEFD-1CE69577BAB6}">
      <dgm:prSet/>
      <dgm:spPr/>
      <dgm:t>
        <a:bodyPr/>
        <a:lstStyle/>
        <a:p>
          <a:pPr algn="ctr"/>
          <a:endParaRPr lang="en-GB"/>
        </a:p>
      </dgm:t>
    </dgm:pt>
    <dgm:pt modelId="{48099AA2-A358-4994-99A3-2BAD65468A64}">
      <dgm:prSet phldrT="[Text]"/>
      <dgm:spPr/>
      <dgm:t>
        <a:bodyPr/>
        <a:lstStyle/>
        <a:p>
          <a:pPr algn="ctr"/>
          <a:r>
            <a:rPr lang="en-GB"/>
            <a:t>NLP Engine (for data harmonisation)</a:t>
          </a:r>
        </a:p>
      </dgm:t>
    </dgm:pt>
    <dgm:pt modelId="{737630C9-DBE1-4E03-B81D-B5F84BD25049}" type="parTrans" cxnId="{8E88E4F8-C853-401C-A46B-83153CAF3396}">
      <dgm:prSet/>
      <dgm:spPr/>
      <dgm:t>
        <a:bodyPr/>
        <a:lstStyle/>
        <a:p>
          <a:pPr algn="ctr"/>
          <a:endParaRPr lang="en-GB"/>
        </a:p>
      </dgm:t>
    </dgm:pt>
    <dgm:pt modelId="{2390B0F3-6AD9-404C-AEBF-40DA08F6D3D9}" type="sibTrans" cxnId="{8E88E4F8-C853-401C-A46B-83153CAF3396}">
      <dgm:prSet/>
      <dgm:spPr/>
      <dgm:t>
        <a:bodyPr/>
        <a:lstStyle/>
        <a:p>
          <a:pPr algn="ctr"/>
          <a:endParaRPr lang="en-GB"/>
        </a:p>
      </dgm:t>
    </dgm:pt>
    <dgm:pt modelId="{E00D830F-3621-44DD-B623-2BF13F9BCAC2}">
      <dgm:prSet phldrT="[Text]"/>
      <dgm:spPr/>
      <dgm:t>
        <a:bodyPr/>
        <a:lstStyle/>
        <a:p>
          <a:pPr algn="ctr"/>
          <a:r>
            <a:rPr lang="en-GB"/>
            <a:t>Predictive Model (Safety Signal Detection)</a:t>
          </a:r>
        </a:p>
      </dgm:t>
    </dgm:pt>
    <dgm:pt modelId="{E758469D-A8FA-4EF7-91A3-D36A8DBADEB9}" type="parTrans" cxnId="{F1E73014-C9AB-4D8A-B339-B4CB5BBDC900}">
      <dgm:prSet/>
      <dgm:spPr/>
      <dgm:t>
        <a:bodyPr/>
        <a:lstStyle/>
        <a:p>
          <a:pPr algn="ctr"/>
          <a:endParaRPr lang="en-GB"/>
        </a:p>
      </dgm:t>
    </dgm:pt>
    <dgm:pt modelId="{EC9F20D4-F806-4324-B27A-51D110C7C218}" type="sibTrans" cxnId="{F1E73014-C9AB-4D8A-B339-B4CB5BBDC900}">
      <dgm:prSet/>
      <dgm:spPr/>
      <dgm:t>
        <a:bodyPr/>
        <a:lstStyle/>
        <a:p>
          <a:pPr algn="ctr"/>
          <a:endParaRPr lang="en-GB"/>
        </a:p>
      </dgm:t>
    </dgm:pt>
    <dgm:pt modelId="{5B61A431-FE05-4764-88FD-93B25D440291}">
      <dgm:prSet phldrT="[Text]"/>
      <dgm:spPr/>
      <dgm:t>
        <a:bodyPr/>
        <a:lstStyle/>
        <a:p>
          <a:pPr algn="ctr"/>
          <a:r>
            <a:rPr lang="en-GB"/>
            <a:t>Audit Priority Trigger</a:t>
          </a:r>
        </a:p>
      </dgm:t>
    </dgm:pt>
    <dgm:pt modelId="{37C7AC3A-A41A-44AE-9551-49581B574D16}" type="parTrans" cxnId="{DAC0D97D-5369-4660-B03D-F15F1DB06688}">
      <dgm:prSet/>
      <dgm:spPr/>
      <dgm:t>
        <a:bodyPr/>
        <a:lstStyle/>
        <a:p>
          <a:pPr algn="ctr"/>
          <a:endParaRPr lang="en-GB"/>
        </a:p>
      </dgm:t>
    </dgm:pt>
    <dgm:pt modelId="{A62E91BA-6850-462A-AB0C-985A1C64822C}" type="sibTrans" cxnId="{DAC0D97D-5369-4660-B03D-F15F1DB06688}">
      <dgm:prSet/>
      <dgm:spPr/>
      <dgm:t>
        <a:bodyPr/>
        <a:lstStyle/>
        <a:p>
          <a:pPr algn="ctr"/>
          <a:endParaRPr lang="en-GB"/>
        </a:p>
      </dgm:t>
    </dgm:pt>
    <dgm:pt modelId="{93A332C6-1E59-47B1-AEB9-417828F33105}">
      <dgm:prSet phldrT="[Text]"/>
      <dgm:spPr/>
      <dgm:t>
        <a:bodyPr/>
        <a:lstStyle/>
        <a:p>
          <a:pPr algn="ctr"/>
          <a:r>
            <a:rPr lang="en-GB"/>
            <a:t>PSUR Contribution/MDR Art. 83 Report</a:t>
          </a:r>
        </a:p>
      </dgm:t>
    </dgm:pt>
    <dgm:pt modelId="{8FB354AC-9A3B-4ECF-A53F-538EF38201BE}" type="parTrans" cxnId="{273C76EC-C1F0-4A09-98FE-81F9696A887B}">
      <dgm:prSet/>
      <dgm:spPr/>
      <dgm:t>
        <a:bodyPr/>
        <a:lstStyle/>
        <a:p>
          <a:pPr algn="ctr"/>
          <a:endParaRPr lang="en-GB"/>
        </a:p>
      </dgm:t>
    </dgm:pt>
    <dgm:pt modelId="{968C6894-535F-432B-B454-3A944CC0B692}" type="sibTrans" cxnId="{273C76EC-C1F0-4A09-98FE-81F9696A887B}">
      <dgm:prSet/>
      <dgm:spPr/>
      <dgm:t>
        <a:bodyPr/>
        <a:lstStyle/>
        <a:p>
          <a:pPr algn="ctr"/>
          <a:endParaRPr lang="en-GB"/>
        </a:p>
      </dgm:t>
    </dgm:pt>
    <dgm:pt modelId="{63E05C28-5523-4ACB-849F-038F08A4DD67}">
      <dgm:prSet phldrT="[Text]"/>
      <dgm:spPr/>
      <dgm:t>
        <a:bodyPr/>
        <a:lstStyle/>
        <a:p>
          <a:pPr algn="ctr"/>
          <a:r>
            <a:rPr lang="en-GB"/>
            <a:t>Structured Data: EUDAMED, UDI Registry</a:t>
          </a:r>
          <a:endParaRPr lang="en-GB" b="1"/>
        </a:p>
      </dgm:t>
    </dgm:pt>
    <dgm:pt modelId="{83AD5A05-3378-4D2C-BA45-BEAEC64600BD}" type="parTrans" cxnId="{311DE82D-9034-40A4-828E-357B6A200D2C}">
      <dgm:prSet/>
      <dgm:spPr/>
      <dgm:t>
        <a:bodyPr/>
        <a:lstStyle/>
        <a:p>
          <a:pPr algn="ctr"/>
          <a:endParaRPr lang="en-GB"/>
        </a:p>
      </dgm:t>
    </dgm:pt>
    <dgm:pt modelId="{BD5118C6-8985-49FE-938A-9810BD6E97CD}" type="sibTrans" cxnId="{311DE82D-9034-40A4-828E-357B6A200D2C}">
      <dgm:prSet/>
      <dgm:spPr/>
      <dgm:t>
        <a:bodyPr/>
        <a:lstStyle/>
        <a:p>
          <a:pPr algn="ctr"/>
          <a:endParaRPr lang="en-GB"/>
        </a:p>
      </dgm:t>
    </dgm:pt>
    <dgm:pt modelId="{06FC4EED-CF7D-41AA-BE10-8DFACF982502}">
      <dgm:prSet phldrT="[Text]"/>
      <dgm:spPr/>
      <dgm:t>
        <a:bodyPr/>
        <a:lstStyle/>
        <a:p>
          <a:pPr algn="ctr"/>
          <a:r>
            <a:rPr lang="en-GB" b="1"/>
            <a:t>Regulatory Action</a:t>
          </a:r>
        </a:p>
      </dgm:t>
    </dgm:pt>
    <dgm:pt modelId="{67B819E0-676F-488A-9AEE-582887B51B90}" type="parTrans" cxnId="{B4046E9C-B2B6-4A98-B588-390C0149E517}">
      <dgm:prSet/>
      <dgm:spPr/>
      <dgm:t>
        <a:bodyPr/>
        <a:lstStyle/>
        <a:p>
          <a:pPr algn="ctr"/>
          <a:endParaRPr lang="en-GB"/>
        </a:p>
      </dgm:t>
    </dgm:pt>
    <dgm:pt modelId="{BA28C060-2D47-44C3-9CEE-0C09C3FF7038}" type="sibTrans" cxnId="{B4046E9C-B2B6-4A98-B588-390C0149E517}">
      <dgm:prSet/>
      <dgm:spPr/>
      <dgm:t>
        <a:bodyPr/>
        <a:lstStyle/>
        <a:p>
          <a:pPr algn="ctr"/>
          <a:endParaRPr lang="en-GB"/>
        </a:p>
      </dgm:t>
    </dgm:pt>
    <dgm:pt modelId="{C490F019-B75E-4FB0-BD47-16FED97ED958}">
      <dgm:prSet phldrT="[Text]"/>
      <dgm:spPr/>
      <dgm:t>
        <a:bodyPr/>
        <a:lstStyle/>
        <a:p>
          <a:pPr algn="ctr"/>
          <a:r>
            <a:rPr lang="en-GB" b="1"/>
            <a:t>Processing Layer</a:t>
          </a:r>
        </a:p>
      </dgm:t>
    </dgm:pt>
    <dgm:pt modelId="{678CB35D-D71A-4B57-9618-7BC6C3D3ABB0}" type="parTrans" cxnId="{42B83328-1696-4772-942A-318E87C129D4}">
      <dgm:prSet/>
      <dgm:spPr/>
      <dgm:t>
        <a:bodyPr/>
        <a:lstStyle/>
        <a:p>
          <a:pPr algn="ctr"/>
          <a:endParaRPr lang="en-GB"/>
        </a:p>
      </dgm:t>
    </dgm:pt>
    <dgm:pt modelId="{A2036C6B-2A8B-4458-8A3C-FC6FF8CA42B7}" type="sibTrans" cxnId="{42B83328-1696-4772-942A-318E87C129D4}">
      <dgm:prSet/>
      <dgm:spPr/>
      <dgm:t>
        <a:bodyPr/>
        <a:lstStyle/>
        <a:p>
          <a:pPr algn="ctr"/>
          <a:endParaRPr lang="en-GB"/>
        </a:p>
      </dgm:t>
    </dgm:pt>
    <dgm:pt modelId="{BB7DB19F-BC38-4357-A110-BB137B59B3A2}">
      <dgm:prSet phldrT="[Text]"/>
      <dgm:spPr/>
      <dgm:t>
        <a:bodyPr/>
        <a:lstStyle/>
        <a:p>
          <a:pPr algn="ctr"/>
          <a:r>
            <a:rPr lang="en-GB" b="1"/>
            <a:t>Heterogenous Inputs</a:t>
          </a:r>
        </a:p>
      </dgm:t>
    </dgm:pt>
    <dgm:pt modelId="{333D0DF6-F8CE-4964-8D37-CCF42CD027BC}" type="parTrans" cxnId="{56786BE2-B408-4548-9CE6-D236B3DACAF0}">
      <dgm:prSet/>
      <dgm:spPr/>
      <dgm:t>
        <a:bodyPr/>
        <a:lstStyle/>
        <a:p>
          <a:pPr algn="ctr"/>
          <a:endParaRPr lang="en-GB"/>
        </a:p>
      </dgm:t>
    </dgm:pt>
    <dgm:pt modelId="{2AD3A468-7BB1-4F76-9473-6E36B538613D}" type="sibTrans" cxnId="{56786BE2-B408-4548-9CE6-D236B3DACAF0}">
      <dgm:prSet/>
      <dgm:spPr/>
      <dgm:t>
        <a:bodyPr/>
        <a:lstStyle/>
        <a:p>
          <a:pPr algn="ctr"/>
          <a:endParaRPr lang="en-GB"/>
        </a:p>
      </dgm:t>
    </dgm:pt>
    <dgm:pt modelId="{E571DE5F-AD77-4333-BBC7-F7E8333C1BDA}" type="pres">
      <dgm:prSet presAssocID="{411A3185-5A25-4031-8B4F-DEFABAF29AED}" presName="linearFlow" presStyleCnt="0">
        <dgm:presLayoutVars>
          <dgm:dir/>
          <dgm:animLvl val="lvl"/>
          <dgm:resizeHandles val="exact"/>
        </dgm:presLayoutVars>
      </dgm:prSet>
      <dgm:spPr/>
    </dgm:pt>
    <dgm:pt modelId="{4F6DCDB7-801F-4AE7-9C1C-139EB664B3AE}" type="pres">
      <dgm:prSet presAssocID="{6BE61D1E-F464-4F4C-A35D-E50CD9FAC8EC}" presName="composite" presStyleCnt="0"/>
      <dgm:spPr/>
    </dgm:pt>
    <dgm:pt modelId="{BE7292A9-A9C4-404E-8835-648E6886586A}" type="pres">
      <dgm:prSet presAssocID="{6BE61D1E-F464-4F4C-A35D-E50CD9FAC8EC}" presName="parTx" presStyleLbl="node1" presStyleIdx="0" presStyleCnt="3">
        <dgm:presLayoutVars>
          <dgm:chMax val="0"/>
          <dgm:chPref val="0"/>
          <dgm:bulletEnabled val="1"/>
        </dgm:presLayoutVars>
      </dgm:prSet>
      <dgm:spPr/>
    </dgm:pt>
    <dgm:pt modelId="{2710E777-9B03-4BD4-B469-D0564D842B88}" type="pres">
      <dgm:prSet presAssocID="{6BE61D1E-F464-4F4C-A35D-E50CD9FAC8EC}" presName="parSh" presStyleLbl="node1" presStyleIdx="0" presStyleCnt="3"/>
      <dgm:spPr/>
    </dgm:pt>
    <dgm:pt modelId="{8F80291C-C7CB-450B-9329-833352CE4DD2}" type="pres">
      <dgm:prSet presAssocID="{6BE61D1E-F464-4F4C-A35D-E50CD9FAC8EC}" presName="desTx" presStyleLbl="fgAcc1" presStyleIdx="0" presStyleCnt="3">
        <dgm:presLayoutVars>
          <dgm:bulletEnabled val="1"/>
        </dgm:presLayoutVars>
      </dgm:prSet>
      <dgm:spPr/>
    </dgm:pt>
    <dgm:pt modelId="{35DE82DC-1804-4116-8EA9-C7248B1C50A4}" type="pres">
      <dgm:prSet presAssocID="{35D47316-B9FD-4AAE-A23D-0CC2ECDA58B5}" presName="sibTrans" presStyleLbl="sibTrans2D1" presStyleIdx="0" presStyleCnt="2"/>
      <dgm:spPr/>
    </dgm:pt>
    <dgm:pt modelId="{9A25E018-E8F9-49C7-B615-42385BC54E65}" type="pres">
      <dgm:prSet presAssocID="{35D47316-B9FD-4AAE-A23D-0CC2ECDA58B5}" presName="connTx" presStyleLbl="sibTrans2D1" presStyleIdx="0" presStyleCnt="2"/>
      <dgm:spPr/>
    </dgm:pt>
    <dgm:pt modelId="{74B8785A-5441-4EE3-B1D8-BB029066CF32}" type="pres">
      <dgm:prSet presAssocID="{0511AE37-25B9-4B84-AEFE-B67EFA4D8416}" presName="composite" presStyleCnt="0"/>
      <dgm:spPr/>
    </dgm:pt>
    <dgm:pt modelId="{9786AECB-5762-42C5-93B5-44B628D4BA6D}" type="pres">
      <dgm:prSet presAssocID="{0511AE37-25B9-4B84-AEFE-B67EFA4D8416}" presName="parTx" presStyleLbl="node1" presStyleIdx="0" presStyleCnt="3">
        <dgm:presLayoutVars>
          <dgm:chMax val="0"/>
          <dgm:chPref val="0"/>
          <dgm:bulletEnabled val="1"/>
        </dgm:presLayoutVars>
      </dgm:prSet>
      <dgm:spPr/>
    </dgm:pt>
    <dgm:pt modelId="{B1A89AC3-B4F6-4205-B943-41959303C1B8}" type="pres">
      <dgm:prSet presAssocID="{0511AE37-25B9-4B84-AEFE-B67EFA4D8416}" presName="parSh" presStyleLbl="node1" presStyleIdx="1" presStyleCnt="3"/>
      <dgm:spPr/>
    </dgm:pt>
    <dgm:pt modelId="{2E26B9CD-125D-4E0D-992D-175C1C89E326}" type="pres">
      <dgm:prSet presAssocID="{0511AE37-25B9-4B84-AEFE-B67EFA4D8416}" presName="desTx" presStyleLbl="fgAcc1" presStyleIdx="1" presStyleCnt="3">
        <dgm:presLayoutVars>
          <dgm:bulletEnabled val="1"/>
        </dgm:presLayoutVars>
      </dgm:prSet>
      <dgm:spPr/>
    </dgm:pt>
    <dgm:pt modelId="{A25D39B1-C0D8-4C84-899D-87552B3E9AE0}" type="pres">
      <dgm:prSet presAssocID="{D51F10A3-1185-4EFF-8007-E7C9C4B93299}" presName="sibTrans" presStyleLbl="sibTrans2D1" presStyleIdx="1" presStyleCnt="2"/>
      <dgm:spPr/>
    </dgm:pt>
    <dgm:pt modelId="{D35F7F62-BC1E-49AF-8F3D-BA98B1FC4BB6}" type="pres">
      <dgm:prSet presAssocID="{D51F10A3-1185-4EFF-8007-E7C9C4B93299}" presName="connTx" presStyleLbl="sibTrans2D1" presStyleIdx="1" presStyleCnt="2"/>
      <dgm:spPr/>
    </dgm:pt>
    <dgm:pt modelId="{226E0650-C80E-4844-9D99-190F7D66D24B}" type="pres">
      <dgm:prSet presAssocID="{4B9CA5E3-86C8-40DA-84A3-E1122FEEFEC4}" presName="composite" presStyleCnt="0"/>
      <dgm:spPr/>
    </dgm:pt>
    <dgm:pt modelId="{4221CB4D-5306-4F74-9BE5-28416FDBFF26}" type="pres">
      <dgm:prSet presAssocID="{4B9CA5E3-86C8-40DA-84A3-E1122FEEFEC4}" presName="parTx" presStyleLbl="node1" presStyleIdx="1" presStyleCnt="3">
        <dgm:presLayoutVars>
          <dgm:chMax val="0"/>
          <dgm:chPref val="0"/>
          <dgm:bulletEnabled val="1"/>
        </dgm:presLayoutVars>
      </dgm:prSet>
      <dgm:spPr/>
    </dgm:pt>
    <dgm:pt modelId="{3BC0FCA7-D118-4F5B-A266-BF83E2EB8564}" type="pres">
      <dgm:prSet presAssocID="{4B9CA5E3-86C8-40DA-84A3-E1122FEEFEC4}" presName="parSh" presStyleLbl="node1" presStyleIdx="2" presStyleCnt="3"/>
      <dgm:spPr/>
    </dgm:pt>
    <dgm:pt modelId="{66031E83-32A2-4EB5-BDF9-F884CA2DEB8E}" type="pres">
      <dgm:prSet presAssocID="{4B9CA5E3-86C8-40DA-84A3-E1122FEEFEC4}" presName="desTx" presStyleLbl="fgAcc1" presStyleIdx="2" presStyleCnt="3">
        <dgm:presLayoutVars>
          <dgm:bulletEnabled val="1"/>
        </dgm:presLayoutVars>
      </dgm:prSet>
      <dgm:spPr/>
    </dgm:pt>
  </dgm:ptLst>
  <dgm:cxnLst>
    <dgm:cxn modelId="{226E5902-F3A8-4F44-BECE-F54F71E4AD00}" type="presOf" srcId="{35D47316-B9FD-4AAE-A23D-0CC2ECDA58B5}" destId="{35DE82DC-1804-4116-8EA9-C7248B1C50A4}" srcOrd="0" destOrd="0" presId="urn:microsoft.com/office/officeart/2005/8/layout/process3"/>
    <dgm:cxn modelId="{A44AAC04-B35A-4BD6-B96A-5169587FB8DF}" type="presOf" srcId="{D51F10A3-1185-4EFF-8007-E7C9C4B93299}" destId="{D35F7F62-BC1E-49AF-8F3D-BA98B1FC4BB6}" srcOrd="1" destOrd="0" presId="urn:microsoft.com/office/officeart/2005/8/layout/process3"/>
    <dgm:cxn modelId="{F1E73014-C9AB-4D8A-B339-B4CB5BBDC900}" srcId="{C490F019-B75E-4FB0-BD47-16FED97ED958}" destId="{E00D830F-3621-44DD-B623-2BF13F9BCAC2}" srcOrd="2" destOrd="0" parTransId="{E758469D-A8FA-4EF7-91A3-D36A8DBADEB9}" sibTransId="{EC9F20D4-F806-4324-B27A-51D110C7C218}"/>
    <dgm:cxn modelId="{FEBF301B-3CC8-4D1C-B9B2-D22195971E4F}" srcId="{411A3185-5A25-4031-8B4F-DEFABAF29AED}" destId="{6BE61D1E-F464-4F4C-A35D-E50CD9FAC8EC}" srcOrd="0" destOrd="0" parTransId="{4613B4D5-E3AD-421F-9946-23DB9F219B06}" sibTransId="{35D47316-B9FD-4AAE-A23D-0CC2ECDA58B5}"/>
    <dgm:cxn modelId="{EEACB524-2695-4885-93EC-AC7A6378C896}" type="presOf" srcId="{93A332C6-1E59-47B1-AEB9-417828F33105}" destId="{66031E83-32A2-4EB5-BDF9-F884CA2DEB8E}" srcOrd="0" destOrd="3" presId="urn:microsoft.com/office/officeart/2005/8/layout/process3"/>
    <dgm:cxn modelId="{42B83328-1696-4772-942A-318E87C129D4}" srcId="{0511AE37-25B9-4B84-AEFE-B67EFA4D8416}" destId="{C490F019-B75E-4FB0-BD47-16FED97ED958}" srcOrd="0" destOrd="0" parTransId="{678CB35D-D71A-4B57-9618-7BC6C3D3ABB0}" sibTransId="{A2036C6B-2A8B-4458-8A3C-FC6FF8CA42B7}"/>
    <dgm:cxn modelId="{311DE82D-9034-40A4-828E-357B6A200D2C}" srcId="{BB7DB19F-BC38-4357-A110-BB137B59B3A2}" destId="{63E05C28-5523-4ACB-849F-038F08A4DD67}" srcOrd="0" destOrd="0" parTransId="{83AD5A05-3378-4D2C-BA45-BEAEC64600BD}" sibTransId="{BD5118C6-8985-49FE-938A-9810BD6E97CD}"/>
    <dgm:cxn modelId="{4E421D60-8368-47B9-8F0D-D65D8F87E60C}" type="presOf" srcId="{6BE61D1E-F464-4F4C-A35D-E50CD9FAC8EC}" destId="{2710E777-9B03-4BD4-B469-D0564D842B88}" srcOrd="1" destOrd="0" presId="urn:microsoft.com/office/officeart/2005/8/layout/process3"/>
    <dgm:cxn modelId="{B4D2A963-0821-4E77-8DD7-E4AB12949C42}" type="presOf" srcId="{63E05C28-5523-4ACB-849F-038F08A4DD67}" destId="{8F80291C-C7CB-450B-9329-833352CE4DD2}" srcOrd="0" destOrd="1" presId="urn:microsoft.com/office/officeart/2005/8/layout/process3"/>
    <dgm:cxn modelId="{6F823764-1003-4BAE-B231-B75F7F94760D}" type="presOf" srcId="{6BE61D1E-F464-4F4C-A35D-E50CD9FAC8EC}" destId="{BE7292A9-A9C4-404E-8835-648E6886586A}" srcOrd="0" destOrd="0" presId="urn:microsoft.com/office/officeart/2005/8/layout/process3"/>
    <dgm:cxn modelId="{C923974B-360A-45B0-910B-5815E0C2E4CD}" type="presOf" srcId="{4B9CA5E3-86C8-40DA-84A3-E1122FEEFEC4}" destId="{4221CB4D-5306-4F74-9BE5-28416FDBFF26}" srcOrd="0" destOrd="0" presId="urn:microsoft.com/office/officeart/2005/8/layout/process3"/>
    <dgm:cxn modelId="{C59E2A56-0403-434B-9347-70E008822D9C}" type="presOf" srcId="{C490F019-B75E-4FB0-BD47-16FED97ED958}" destId="{2E26B9CD-125D-4E0D-992D-175C1C89E326}" srcOrd="0" destOrd="0" presId="urn:microsoft.com/office/officeart/2005/8/layout/process3"/>
    <dgm:cxn modelId="{DAC0D97D-5369-4660-B03D-F15F1DB06688}" srcId="{06FC4EED-CF7D-41AA-BE10-8DFACF982502}" destId="{5B61A431-FE05-4764-88FD-93B25D440291}" srcOrd="1" destOrd="0" parTransId="{37C7AC3A-A41A-44AE-9551-49581B574D16}" sibTransId="{A62E91BA-6850-462A-AB0C-985A1C64822C}"/>
    <dgm:cxn modelId="{5B77A27E-F7F2-4BCB-8DA5-724B5BE56C51}" type="presOf" srcId="{0511AE37-25B9-4B84-AEFE-B67EFA4D8416}" destId="{B1A89AC3-B4F6-4205-B943-41959303C1B8}" srcOrd="1" destOrd="0" presId="urn:microsoft.com/office/officeart/2005/8/layout/process3"/>
    <dgm:cxn modelId="{E3B8A77E-364D-4603-B350-355A3CCD3FC7}" srcId="{411A3185-5A25-4031-8B4F-DEFABAF29AED}" destId="{4B9CA5E3-86C8-40DA-84A3-E1122FEEFEC4}" srcOrd="2" destOrd="0" parTransId="{900E5FBA-DDB8-461E-AD5C-92A2D7479FD8}" sibTransId="{3D22005B-30AD-4FBB-8F27-533517624BEA}"/>
    <dgm:cxn modelId="{3811B082-9828-4496-9CCD-46025F0ED6BE}" type="presOf" srcId="{BB7DB19F-BC38-4357-A110-BB137B59B3A2}" destId="{8F80291C-C7CB-450B-9329-833352CE4DD2}" srcOrd="0" destOrd="0" presId="urn:microsoft.com/office/officeart/2005/8/layout/process3"/>
    <dgm:cxn modelId="{DC611C91-A17F-4595-A345-C534296064D1}" type="presOf" srcId="{D51F10A3-1185-4EFF-8007-E7C9C4B93299}" destId="{A25D39B1-C0D8-4C84-899D-87552B3E9AE0}" srcOrd="0" destOrd="0" presId="urn:microsoft.com/office/officeart/2005/8/layout/process3"/>
    <dgm:cxn modelId="{42660493-FE27-460F-B36B-2BF0679E4F73}" srcId="{C490F019-B75E-4FB0-BD47-16FED97ED958}" destId="{5467FAF3-1440-4862-94B8-6F829DDF02F2}" srcOrd="0" destOrd="0" parTransId="{BF377029-1FD9-4178-A72A-728CD1F74105}" sibTransId="{3CF7E8B8-4FF2-4E7D-9039-A6AB09F11C8B}"/>
    <dgm:cxn modelId="{B4046E9C-B2B6-4A98-B588-390C0149E517}" srcId="{4B9CA5E3-86C8-40DA-84A3-E1122FEEFEC4}" destId="{06FC4EED-CF7D-41AA-BE10-8DFACF982502}" srcOrd="0" destOrd="0" parTransId="{67B819E0-676F-488A-9AEE-582887B51B90}" sibTransId="{BA28C060-2D47-44C3-9CEE-0C09C3FF7038}"/>
    <dgm:cxn modelId="{5F3899AA-FCEB-40F7-9B23-D97E8E89BD7F}" type="presOf" srcId="{E00D830F-3621-44DD-B623-2BF13F9BCAC2}" destId="{2E26B9CD-125D-4E0D-992D-175C1C89E326}" srcOrd="0" destOrd="3" presId="urn:microsoft.com/office/officeart/2005/8/layout/process3"/>
    <dgm:cxn modelId="{49BC3BAF-4429-473B-AE8D-D0D6710CB80B}" type="presOf" srcId="{A1543585-8558-4686-AD1F-CFAE5A30E2D7}" destId="{8F80291C-C7CB-450B-9329-833352CE4DD2}" srcOrd="0" destOrd="3" presId="urn:microsoft.com/office/officeart/2005/8/layout/process3"/>
    <dgm:cxn modelId="{FB0C0BB0-4E5F-4C80-8CA1-7AD49688E31D}" type="presOf" srcId="{5467FAF3-1440-4862-94B8-6F829DDF02F2}" destId="{2E26B9CD-125D-4E0D-992D-175C1C89E326}" srcOrd="0" destOrd="1" presId="urn:microsoft.com/office/officeart/2005/8/layout/process3"/>
    <dgm:cxn modelId="{342469B2-7284-47FF-8C88-44FAC3A61C10}" type="presOf" srcId="{35D47316-B9FD-4AAE-A23D-0CC2ECDA58B5}" destId="{9A25E018-E8F9-49C7-B615-42385BC54E65}" srcOrd="1" destOrd="0" presId="urn:microsoft.com/office/officeart/2005/8/layout/process3"/>
    <dgm:cxn modelId="{27757BBC-0093-448C-9818-F9574B8C783B}" type="presOf" srcId="{411A3185-5A25-4031-8B4F-DEFABAF29AED}" destId="{E571DE5F-AD77-4333-BBC7-F7E8333C1BDA}" srcOrd="0" destOrd="0" presId="urn:microsoft.com/office/officeart/2005/8/layout/process3"/>
    <dgm:cxn modelId="{9AF9A9BC-13E7-4755-AD25-B26BA37758D7}" type="presOf" srcId="{48099AA2-A358-4994-99A3-2BAD65468A64}" destId="{2E26B9CD-125D-4E0D-992D-175C1C89E326}" srcOrd="0" destOrd="2" presId="urn:microsoft.com/office/officeart/2005/8/layout/process3"/>
    <dgm:cxn modelId="{56FA52D2-C370-4533-855B-3E9DF5EA9360}" type="presOf" srcId="{56BAA5BA-C4F5-44FE-BF69-8FC41A222390}" destId="{66031E83-32A2-4EB5-BDF9-F884CA2DEB8E}" srcOrd="0" destOrd="1" presId="urn:microsoft.com/office/officeart/2005/8/layout/process3"/>
    <dgm:cxn modelId="{459080D6-DC03-495F-999D-06B6E441294F}" type="presOf" srcId="{5B61A431-FE05-4764-88FD-93B25D440291}" destId="{66031E83-32A2-4EB5-BDF9-F884CA2DEB8E}" srcOrd="0" destOrd="2" presId="urn:microsoft.com/office/officeart/2005/8/layout/process3"/>
    <dgm:cxn modelId="{AB4BA7DB-D34A-4EB6-9434-486E735B99C3}" srcId="{06FC4EED-CF7D-41AA-BE10-8DFACF982502}" destId="{56BAA5BA-C4F5-44FE-BF69-8FC41A222390}" srcOrd="0" destOrd="0" parTransId="{62F02713-B8C9-46AF-B85F-53199CC87F67}" sibTransId="{D1E570B4-3EB5-4441-8329-F47D67EE5B23}"/>
    <dgm:cxn modelId="{C298AADD-6DE9-47AB-A181-7F768F72F97A}" type="presOf" srcId="{06FC4EED-CF7D-41AA-BE10-8DFACF982502}" destId="{66031E83-32A2-4EB5-BDF9-F884CA2DEB8E}" srcOrd="0" destOrd="0" presId="urn:microsoft.com/office/officeart/2005/8/layout/process3"/>
    <dgm:cxn modelId="{6991B9E1-B26B-4183-85DD-CEE014BDE67A}" type="presOf" srcId="{1205C9D6-105D-4F37-86B2-F483341991C9}" destId="{8F80291C-C7CB-450B-9329-833352CE4DD2}" srcOrd="0" destOrd="2" presId="urn:microsoft.com/office/officeart/2005/8/layout/process3"/>
    <dgm:cxn modelId="{56786BE2-B408-4548-9CE6-D236B3DACAF0}" srcId="{6BE61D1E-F464-4F4C-A35D-E50CD9FAC8EC}" destId="{BB7DB19F-BC38-4357-A110-BB137B59B3A2}" srcOrd="0" destOrd="0" parTransId="{333D0DF6-F8CE-4964-8D37-CCF42CD027BC}" sibTransId="{2AD3A468-7BB1-4F76-9473-6E36B538613D}"/>
    <dgm:cxn modelId="{19C881EA-FC48-4E82-9482-F56D93FA7E00}" type="presOf" srcId="{0511AE37-25B9-4B84-AEFE-B67EFA4D8416}" destId="{9786AECB-5762-42C5-93B5-44B628D4BA6D}" srcOrd="0" destOrd="0" presId="urn:microsoft.com/office/officeart/2005/8/layout/process3"/>
    <dgm:cxn modelId="{8EEE0DEB-88A8-4AEA-A701-A493E0ADCFD7}" srcId="{411A3185-5A25-4031-8B4F-DEFABAF29AED}" destId="{0511AE37-25B9-4B84-AEFE-B67EFA4D8416}" srcOrd="1" destOrd="0" parTransId="{0E017C87-61B4-45FA-977C-5BD36A378925}" sibTransId="{D51F10A3-1185-4EFF-8007-E7C9C4B93299}"/>
    <dgm:cxn modelId="{273C76EC-C1F0-4A09-98FE-81F9696A887B}" srcId="{06FC4EED-CF7D-41AA-BE10-8DFACF982502}" destId="{93A332C6-1E59-47B1-AEB9-417828F33105}" srcOrd="2" destOrd="0" parTransId="{8FB354AC-9A3B-4ECF-A53F-538EF38201BE}" sibTransId="{968C6894-535F-432B-B454-3A944CC0B692}"/>
    <dgm:cxn modelId="{8AF4B8F3-7980-4CBF-A527-E702CD5FFC02}" type="presOf" srcId="{4B9CA5E3-86C8-40DA-84A3-E1122FEEFEC4}" destId="{3BC0FCA7-D118-4F5B-A266-BF83E2EB8564}" srcOrd="1" destOrd="0" presId="urn:microsoft.com/office/officeart/2005/8/layout/process3"/>
    <dgm:cxn modelId="{771267F7-01C4-47CA-BF69-EDAE24CEDD6D}" srcId="{BB7DB19F-BC38-4357-A110-BB137B59B3A2}" destId="{1205C9D6-105D-4F37-86B2-F483341991C9}" srcOrd="1" destOrd="0" parTransId="{B35782EC-9492-4EE7-813B-3A519B69B391}" sibTransId="{83C8C4AB-D635-4697-A39A-F26A49AD0975}"/>
    <dgm:cxn modelId="{C669C0F7-935B-4A07-AEFD-1CE69577BAB6}" srcId="{BB7DB19F-BC38-4357-A110-BB137B59B3A2}" destId="{A1543585-8558-4686-AD1F-CFAE5A30E2D7}" srcOrd="2" destOrd="0" parTransId="{8DC2F8F2-60A0-42F0-9400-AB6310B2BAEF}" sibTransId="{F2C0117B-A1CE-4B29-B1C8-8CB5C90ED4B7}"/>
    <dgm:cxn modelId="{8E88E4F8-C853-401C-A46B-83153CAF3396}" srcId="{C490F019-B75E-4FB0-BD47-16FED97ED958}" destId="{48099AA2-A358-4994-99A3-2BAD65468A64}" srcOrd="1" destOrd="0" parTransId="{737630C9-DBE1-4E03-B81D-B5F84BD25049}" sibTransId="{2390B0F3-6AD9-404C-AEBF-40DA08F6D3D9}"/>
    <dgm:cxn modelId="{23777944-B821-4675-AF2C-702746B1F6DB}" type="presParOf" srcId="{E571DE5F-AD77-4333-BBC7-F7E8333C1BDA}" destId="{4F6DCDB7-801F-4AE7-9C1C-139EB664B3AE}" srcOrd="0" destOrd="0" presId="urn:microsoft.com/office/officeart/2005/8/layout/process3"/>
    <dgm:cxn modelId="{41865774-789C-4795-9758-93FE46033D41}" type="presParOf" srcId="{4F6DCDB7-801F-4AE7-9C1C-139EB664B3AE}" destId="{BE7292A9-A9C4-404E-8835-648E6886586A}" srcOrd="0" destOrd="0" presId="urn:microsoft.com/office/officeart/2005/8/layout/process3"/>
    <dgm:cxn modelId="{11D6CD5E-DEF5-4EE5-AE3A-90D94FF39950}" type="presParOf" srcId="{4F6DCDB7-801F-4AE7-9C1C-139EB664B3AE}" destId="{2710E777-9B03-4BD4-B469-D0564D842B88}" srcOrd="1" destOrd="0" presId="urn:microsoft.com/office/officeart/2005/8/layout/process3"/>
    <dgm:cxn modelId="{C9A104BD-4420-4AF3-BF83-04852E38F45A}" type="presParOf" srcId="{4F6DCDB7-801F-4AE7-9C1C-139EB664B3AE}" destId="{8F80291C-C7CB-450B-9329-833352CE4DD2}" srcOrd="2" destOrd="0" presId="urn:microsoft.com/office/officeart/2005/8/layout/process3"/>
    <dgm:cxn modelId="{7D8B5BA0-0A16-48EF-AF86-4CD9A165D2D0}" type="presParOf" srcId="{E571DE5F-AD77-4333-BBC7-F7E8333C1BDA}" destId="{35DE82DC-1804-4116-8EA9-C7248B1C50A4}" srcOrd="1" destOrd="0" presId="urn:microsoft.com/office/officeart/2005/8/layout/process3"/>
    <dgm:cxn modelId="{4F79534D-BB12-456F-AA94-D49CF1CC33C1}" type="presParOf" srcId="{35DE82DC-1804-4116-8EA9-C7248B1C50A4}" destId="{9A25E018-E8F9-49C7-B615-42385BC54E65}" srcOrd="0" destOrd="0" presId="urn:microsoft.com/office/officeart/2005/8/layout/process3"/>
    <dgm:cxn modelId="{A2C62134-3D10-4D3A-80AF-F3AC25BEAB69}" type="presParOf" srcId="{E571DE5F-AD77-4333-BBC7-F7E8333C1BDA}" destId="{74B8785A-5441-4EE3-B1D8-BB029066CF32}" srcOrd="2" destOrd="0" presId="urn:microsoft.com/office/officeart/2005/8/layout/process3"/>
    <dgm:cxn modelId="{CDC9E93A-64EC-4C41-884D-0B525AAC0391}" type="presParOf" srcId="{74B8785A-5441-4EE3-B1D8-BB029066CF32}" destId="{9786AECB-5762-42C5-93B5-44B628D4BA6D}" srcOrd="0" destOrd="0" presId="urn:microsoft.com/office/officeart/2005/8/layout/process3"/>
    <dgm:cxn modelId="{21509D30-D9CD-47B3-B643-3FE6A6706B9D}" type="presParOf" srcId="{74B8785A-5441-4EE3-B1D8-BB029066CF32}" destId="{B1A89AC3-B4F6-4205-B943-41959303C1B8}" srcOrd="1" destOrd="0" presId="urn:microsoft.com/office/officeart/2005/8/layout/process3"/>
    <dgm:cxn modelId="{31AC3A22-B73B-4211-8836-C59A9B69AADD}" type="presParOf" srcId="{74B8785A-5441-4EE3-B1D8-BB029066CF32}" destId="{2E26B9CD-125D-4E0D-992D-175C1C89E326}" srcOrd="2" destOrd="0" presId="urn:microsoft.com/office/officeart/2005/8/layout/process3"/>
    <dgm:cxn modelId="{72F03D3A-3424-4D32-8E5A-EBF7870ECABD}" type="presParOf" srcId="{E571DE5F-AD77-4333-BBC7-F7E8333C1BDA}" destId="{A25D39B1-C0D8-4C84-899D-87552B3E9AE0}" srcOrd="3" destOrd="0" presId="urn:microsoft.com/office/officeart/2005/8/layout/process3"/>
    <dgm:cxn modelId="{923F5BF5-3E67-4294-A928-21477CB0F54C}" type="presParOf" srcId="{A25D39B1-C0D8-4C84-899D-87552B3E9AE0}" destId="{D35F7F62-BC1E-49AF-8F3D-BA98B1FC4BB6}" srcOrd="0" destOrd="0" presId="urn:microsoft.com/office/officeart/2005/8/layout/process3"/>
    <dgm:cxn modelId="{88673622-A6C4-40EE-8D5F-11CE7210E380}" type="presParOf" srcId="{E571DE5F-AD77-4333-BBC7-F7E8333C1BDA}" destId="{226E0650-C80E-4844-9D99-190F7D66D24B}" srcOrd="4" destOrd="0" presId="urn:microsoft.com/office/officeart/2005/8/layout/process3"/>
    <dgm:cxn modelId="{6F58642C-1DA1-4136-8A35-B6C6870C1376}" type="presParOf" srcId="{226E0650-C80E-4844-9D99-190F7D66D24B}" destId="{4221CB4D-5306-4F74-9BE5-28416FDBFF26}" srcOrd="0" destOrd="0" presId="urn:microsoft.com/office/officeart/2005/8/layout/process3"/>
    <dgm:cxn modelId="{89CF0904-0749-4BF7-A313-7FA8434EA49D}" type="presParOf" srcId="{226E0650-C80E-4844-9D99-190F7D66D24B}" destId="{3BC0FCA7-D118-4F5B-A266-BF83E2EB8564}" srcOrd="1" destOrd="0" presId="urn:microsoft.com/office/officeart/2005/8/layout/process3"/>
    <dgm:cxn modelId="{C0634308-DE48-417F-977D-63F908104F05}" type="presParOf" srcId="{226E0650-C80E-4844-9D99-190F7D66D24B}" destId="{66031E83-32A2-4EB5-BDF9-F884CA2DEB8E}" srcOrd="2" destOrd="0" presId="urn:microsoft.com/office/officeart/2005/8/layout/process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10E777-9B03-4BD4-B469-D0564D842B88}">
      <dsp:nvSpPr>
        <dsp:cNvPr id="0" name=""/>
        <dsp:cNvSpPr/>
      </dsp:nvSpPr>
      <dsp:spPr>
        <a:xfrm>
          <a:off x="2671" y="279935"/>
          <a:ext cx="1214860" cy="71629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ctr" defTabSz="400050">
            <a:lnSpc>
              <a:spcPct val="90000"/>
            </a:lnSpc>
            <a:spcBef>
              <a:spcPct val="0"/>
            </a:spcBef>
            <a:spcAft>
              <a:spcPct val="35000"/>
            </a:spcAft>
            <a:buNone/>
          </a:pPr>
          <a:r>
            <a:rPr lang="en-GB" sz="900" kern="1200"/>
            <a:t>Stage 1: Data Sources (Variety)</a:t>
          </a:r>
        </a:p>
      </dsp:txBody>
      <dsp:txXfrm>
        <a:off x="2671" y="279935"/>
        <a:ext cx="1214860" cy="477529"/>
      </dsp:txXfrm>
    </dsp:sp>
    <dsp:sp modelId="{8F80291C-C7CB-450B-9329-833352CE4DD2}">
      <dsp:nvSpPr>
        <dsp:cNvPr id="0" name=""/>
        <dsp:cNvSpPr/>
      </dsp:nvSpPr>
      <dsp:spPr>
        <a:xfrm>
          <a:off x="251498" y="757464"/>
          <a:ext cx="1214860" cy="178200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ctr" defTabSz="400050">
            <a:lnSpc>
              <a:spcPct val="90000"/>
            </a:lnSpc>
            <a:spcBef>
              <a:spcPct val="0"/>
            </a:spcBef>
            <a:spcAft>
              <a:spcPct val="15000"/>
            </a:spcAft>
            <a:buChar char="•"/>
          </a:pPr>
          <a:r>
            <a:rPr lang="en-GB" sz="900" b="1" kern="1200"/>
            <a:t>Heterogenous Inputs</a:t>
          </a:r>
        </a:p>
        <a:p>
          <a:pPr marL="114300" lvl="2" indent="-57150" algn="ctr" defTabSz="400050">
            <a:lnSpc>
              <a:spcPct val="90000"/>
            </a:lnSpc>
            <a:spcBef>
              <a:spcPct val="0"/>
            </a:spcBef>
            <a:spcAft>
              <a:spcPct val="15000"/>
            </a:spcAft>
            <a:buChar char="•"/>
          </a:pPr>
          <a:r>
            <a:rPr lang="en-GB" sz="900" kern="1200"/>
            <a:t>Structured Data: EUDAMED, UDI Registry</a:t>
          </a:r>
          <a:endParaRPr lang="en-GB" sz="900" b="1" kern="1200"/>
        </a:p>
        <a:p>
          <a:pPr marL="114300" lvl="2" indent="-57150" algn="ctr" defTabSz="400050">
            <a:lnSpc>
              <a:spcPct val="90000"/>
            </a:lnSpc>
            <a:spcBef>
              <a:spcPct val="0"/>
            </a:spcBef>
            <a:spcAft>
              <a:spcPct val="15000"/>
            </a:spcAft>
            <a:buChar char="•"/>
          </a:pPr>
          <a:r>
            <a:rPr lang="en-GB" sz="900" kern="1200"/>
            <a:t>Semi-Structured: Manufacturer Complaint Files</a:t>
          </a:r>
        </a:p>
        <a:p>
          <a:pPr marL="114300" lvl="2" indent="-57150" algn="ctr" defTabSz="400050">
            <a:lnSpc>
              <a:spcPct val="90000"/>
            </a:lnSpc>
            <a:spcBef>
              <a:spcPct val="0"/>
            </a:spcBef>
            <a:spcAft>
              <a:spcPct val="15000"/>
            </a:spcAft>
            <a:buChar char="•"/>
          </a:pPr>
          <a:r>
            <a:rPr lang="en-GB" sz="900" kern="1200"/>
            <a:t>Unstructured: Social Media, Literature, Email Reports</a:t>
          </a:r>
        </a:p>
      </dsp:txBody>
      <dsp:txXfrm>
        <a:off x="287080" y="793046"/>
        <a:ext cx="1143696" cy="1710836"/>
      </dsp:txXfrm>
    </dsp:sp>
    <dsp:sp modelId="{35DE82DC-1804-4116-8EA9-C7248B1C50A4}">
      <dsp:nvSpPr>
        <dsp:cNvPr id="0" name=""/>
        <dsp:cNvSpPr/>
      </dsp:nvSpPr>
      <dsp:spPr>
        <a:xfrm>
          <a:off x="1401700" y="367467"/>
          <a:ext cx="390437" cy="30246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1401700" y="427960"/>
        <a:ext cx="299698" cy="181479"/>
      </dsp:txXfrm>
    </dsp:sp>
    <dsp:sp modelId="{B1A89AC3-B4F6-4205-B943-41959303C1B8}">
      <dsp:nvSpPr>
        <dsp:cNvPr id="0" name=""/>
        <dsp:cNvSpPr/>
      </dsp:nvSpPr>
      <dsp:spPr>
        <a:xfrm>
          <a:off x="1954206" y="279935"/>
          <a:ext cx="1214860" cy="71629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ctr" defTabSz="400050">
            <a:lnSpc>
              <a:spcPct val="90000"/>
            </a:lnSpc>
            <a:spcBef>
              <a:spcPct val="0"/>
            </a:spcBef>
            <a:spcAft>
              <a:spcPct val="35000"/>
            </a:spcAft>
            <a:buNone/>
          </a:pPr>
          <a:r>
            <a:rPr lang="en-GB" sz="900" kern="1200"/>
            <a:t>Stage 2: BDA Processing (Veracity/Velocity)</a:t>
          </a:r>
        </a:p>
      </dsp:txBody>
      <dsp:txXfrm>
        <a:off x="1954206" y="279935"/>
        <a:ext cx="1214860" cy="477529"/>
      </dsp:txXfrm>
    </dsp:sp>
    <dsp:sp modelId="{2E26B9CD-125D-4E0D-992D-175C1C89E326}">
      <dsp:nvSpPr>
        <dsp:cNvPr id="0" name=""/>
        <dsp:cNvSpPr/>
      </dsp:nvSpPr>
      <dsp:spPr>
        <a:xfrm>
          <a:off x="2203033" y="757464"/>
          <a:ext cx="1214860" cy="178200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ctr" defTabSz="400050">
            <a:lnSpc>
              <a:spcPct val="90000"/>
            </a:lnSpc>
            <a:spcBef>
              <a:spcPct val="0"/>
            </a:spcBef>
            <a:spcAft>
              <a:spcPct val="15000"/>
            </a:spcAft>
            <a:buChar char="•"/>
          </a:pPr>
          <a:r>
            <a:rPr lang="en-GB" sz="900" b="1" kern="1200"/>
            <a:t>Processing Layer</a:t>
          </a:r>
        </a:p>
        <a:p>
          <a:pPr marL="114300" lvl="2" indent="-57150" algn="ctr" defTabSz="400050">
            <a:lnSpc>
              <a:spcPct val="90000"/>
            </a:lnSpc>
            <a:spcBef>
              <a:spcPct val="0"/>
            </a:spcBef>
            <a:spcAft>
              <a:spcPct val="15000"/>
            </a:spcAft>
            <a:buChar char="•"/>
          </a:pPr>
          <a:r>
            <a:rPr lang="en-GB" sz="900" kern="1200"/>
            <a:t>Stream Processing (e.g., Apache Spark)</a:t>
          </a:r>
        </a:p>
        <a:p>
          <a:pPr marL="114300" lvl="2" indent="-57150" algn="ctr" defTabSz="400050">
            <a:lnSpc>
              <a:spcPct val="90000"/>
            </a:lnSpc>
            <a:spcBef>
              <a:spcPct val="0"/>
            </a:spcBef>
            <a:spcAft>
              <a:spcPct val="15000"/>
            </a:spcAft>
            <a:buChar char="•"/>
          </a:pPr>
          <a:r>
            <a:rPr lang="en-GB" sz="900" kern="1200"/>
            <a:t>NLP Engine (for data harmonisation)</a:t>
          </a:r>
        </a:p>
        <a:p>
          <a:pPr marL="114300" lvl="2" indent="-57150" algn="ctr" defTabSz="400050">
            <a:lnSpc>
              <a:spcPct val="90000"/>
            </a:lnSpc>
            <a:spcBef>
              <a:spcPct val="0"/>
            </a:spcBef>
            <a:spcAft>
              <a:spcPct val="15000"/>
            </a:spcAft>
            <a:buChar char="•"/>
          </a:pPr>
          <a:r>
            <a:rPr lang="en-GB" sz="900" kern="1200"/>
            <a:t>Predictive Model (Safety Signal Detection)</a:t>
          </a:r>
        </a:p>
      </dsp:txBody>
      <dsp:txXfrm>
        <a:off x="2238615" y="793046"/>
        <a:ext cx="1143696" cy="1710836"/>
      </dsp:txXfrm>
    </dsp:sp>
    <dsp:sp modelId="{A25D39B1-C0D8-4C84-899D-87552B3E9AE0}">
      <dsp:nvSpPr>
        <dsp:cNvPr id="0" name=""/>
        <dsp:cNvSpPr/>
      </dsp:nvSpPr>
      <dsp:spPr>
        <a:xfrm>
          <a:off x="3353235" y="367467"/>
          <a:ext cx="390437" cy="30246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3353235" y="427960"/>
        <a:ext cx="299698" cy="181479"/>
      </dsp:txXfrm>
    </dsp:sp>
    <dsp:sp modelId="{3BC0FCA7-D118-4F5B-A266-BF83E2EB8564}">
      <dsp:nvSpPr>
        <dsp:cNvPr id="0" name=""/>
        <dsp:cNvSpPr/>
      </dsp:nvSpPr>
      <dsp:spPr>
        <a:xfrm>
          <a:off x="3905740" y="279935"/>
          <a:ext cx="1214860" cy="71629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ctr" defTabSz="400050">
            <a:lnSpc>
              <a:spcPct val="90000"/>
            </a:lnSpc>
            <a:spcBef>
              <a:spcPct val="0"/>
            </a:spcBef>
            <a:spcAft>
              <a:spcPct val="35000"/>
            </a:spcAft>
            <a:buNone/>
          </a:pPr>
          <a:r>
            <a:rPr lang="en-GB" sz="900" kern="1200"/>
            <a:t>Stage 3: Output/Action (Validity)</a:t>
          </a:r>
        </a:p>
      </dsp:txBody>
      <dsp:txXfrm>
        <a:off x="3905740" y="279935"/>
        <a:ext cx="1214860" cy="477529"/>
      </dsp:txXfrm>
    </dsp:sp>
    <dsp:sp modelId="{66031E83-32A2-4EB5-BDF9-F884CA2DEB8E}">
      <dsp:nvSpPr>
        <dsp:cNvPr id="0" name=""/>
        <dsp:cNvSpPr/>
      </dsp:nvSpPr>
      <dsp:spPr>
        <a:xfrm>
          <a:off x="4154567" y="757464"/>
          <a:ext cx="1214860" cy="178200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ctr" defTabSz="400050">
            <a:lnSpc>
              <a:spcPct val="90000"/>
            </a:lnSpc>
            <a:spcBef>
              <a:spcPct val="0"/>
            </a:spcBef>
            <a:spcAft>
              <a:spcPct val="15000"/>
            </a:spcAft>
            <a:buChar char="•"/>
          </a:pPr>
          <a:r>
            <a:rPr lang="en-GB" sz="900" b="1" kern="1200"/>
            <a:t>Regulatory Action</a:t>
          </a:r>
        </a:p>
        <a:p>
          <a:pPr marL="114300" lvl="2" indent="-57150" algn="ctr" defTabSz="400050">
            <a:lnSpc>
              <a:spcPct val="90000"/>
            </a:lnSpc>
            <a:spcBef>
              <a:spcPct val="0"/>
            </a:spcBef>
            <a:spcAft>
              <a:spcPct val="15000"/>
            </a:spcAft>
            <a:buChar char="•"/>
          </a:pPr>
          <a:r>
            <a:rPr lang="en-GB" sz="900" kern="1200"/>
            <a:t>Risk Dashboard</a:t>
          </a:r>
        </a:p>
        <a:p>
          <a:pPr marL="114300" lvl="2" indent="-57150" algn="ctr" defTabSz="400050">
            <a:lnSpc>
              <a:spcPct val="90000"/>
            </a:lnSpc>
            <a:spcBef>
              <a:spcPct val="0"/>
            </a:spcBef>
            <a:spcAft>
              <a:spcPct val="15000"/>
            </a:spcAft>
            <a:buChar char="•"/>
          </a:pPr>
          <a:r>
            <a:rPr lang="en-GB" sz="900" kern="1200"/>
            <a:t>Audit Priority Trigger</a:t>
          </a:r>
        </a:p>
        <a:p>
          <a:pPr marL="114300" lvl="2" indent="-57150" algn="ctr" defTabSz="400050">
            <a:lnSpc>
              <a:spcPct val="90000"/>
            </a:lnSpc>
            <a:spcBef>
              <a:spcPct val="0"/>
            </a:spcBef>
            <a:spcAft>
              <a:spcPct val="15000"/>
            </a:spcAft>
            <a:buChar char="•"/>
          </a:pPr>
          <a:r>
            <a:rPr lang="en-GB" sz="900" kern="1200"/>
            <a:t>PSUR Contribution/MDR Art. 83 Report</a:t>
          </a:r>
        </a:p>
      </dsp:txBody>
      <dsp:txXfrm>
        <a:off x="4190149" y="793046"/>
        <a:ext cx="1143696" cy="171083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2520</Words>
  <Characters>16516</Characters>
  <Application>Microsoft Office Word</Application>
  <DocSecurity>0</DocSecurity>
  <Lines>312</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Leighton Williams</cp:lastModifiedBy>
  <cp:revision>3</cp:revision>
  <dcterms:created xsi:type="dcterms:W3CDTF">2026-01-19T14:44:00Z</dcterms:created>
  <dcterms:modified xsi:type="dcterms:W3CDTF">2026-01-19T14:45:00Z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cb955d-7ead-4d26-a883-f23b503e5cb3_Enabled">
    <vt:lpwstr>true</vt:lpwstr>
  </property>
  <property fmtid="{D5CDD505-2E9C-101B-9397-08002B2CF9AE}" pid="3" name="MSIP_Label_eccb955d-7ead-4d26-a883-f23b503e5cb3_SetDate">
    <vt:lpwstr>2025-12-05T13:55:47Z</vt:lpwstr>
  </property>
  <property fmtid="{D5CDD505-2E9C-101B-9397-08002B2CF9AE}" pid="4" name="MSIP_Label_eccb955d-7ead-4d26-a883-f23b503e5cb3_Method">
    <vt:lpwstr>Privileged</vt:lpwstr>
  </property>
  <property fmtid="{D5CDD505-2E9C-101B-9397-08002B2CF9AE}" pid="5" name="MSIP_Label_eccb955d-7ead-4d26-a883-f23b503e5cb3_Name">
    <vt:lpwstr>Confidential - Un-Marked</vt:lpwstr>
  </property>
  <property fmtid="{D5CDD505-2E9C-101B-9397-08002B2CF9AE}" pid="6" name="MSIP_Label_eccb955d-7ead-4d26-a883-f23b503e5cb3_SiteId">
    <vt:lpwstr>54946ffc-68d3-4955-ac70-dca726d445b4</vt:lpwstr>
  </property>
  <property fmtid="{D5CDD505-2E9C-101B-9397-08002B2CF9AE}" pid="7" name="MSIP_Label_eccb955d-7ead-4d26-a883-f23b503e5cb3_ActionId">
    <vt:lpwstr>4bee68ee-b043-41aa-9a16-ff92049b6629</vt:lpwstr>
  </property>
  <property fmtid="{D5CDD505-2E9C-101B-9397-08002B2CF9AE}" pid="8" name="MSIP_Label_eccb955d-7ead-4d26-a883-f23b503e5cb3_ContentBits">
    <vt:lpwstr>0</vt:lpwstr>
  </property>
  <property fmtid="{D5CDD505-2E9C-101B-9397-08002B2CF9AE}" pid="9" name="MSIP_Label_eccb955d-7ead-4d26-a883-f23b503e5cb3_Tag">
    <vt:lpwstr>10, 0, 1, 1</vt:lpwstr>
  </property>
  <property fmtid="{D5CDD505-2E9C-101B-9397-08002B2CF9AE}" pid="10" name="GrammarlyDocumentId">
    <vt:lpwstr>a6ca3aa3-4abc-4a2a-b81b-03e52919315e</vt:lpwstr>
  </property>
</Properties>
</file>