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述责述廉报告</w:t>
      </w:r>
    </w:p>
    <w:p>
      <w:pPr>
        <w:jc w:val="center"/>
      </w:pPr>
      <w:r>
        <w:rPr>
          <w:rFonts w:ascii="楷体_GB2312" w:hAnsi="楷体_GB2312" w:eastAsia="楷体_GB2312"/>
          <w:b w:val="0"/>
          <w:sz w:val="28"/>
        </w:rPr>
        <w:t>党务工作部信息技术工程师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一、履行党风廉政建设"一岗双责"情况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（一）强化政治理论学习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全年参加支部集中学习12次，自学《中国共产党纪律处分条例》《中国共产党廉洁自律准则》等党纪法规，撰写心得体会4篇。通过学习，进一步筑牢拒腐防变的思想防线，增强"四个意识"、坚定"四个自信"、做到"两个维护"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（二）落实岗位廉政责任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在信息技术日常工作中，严格执行以下廉政要求：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1. 采购环节：涉及软硬件采购时，严格执行集中采购制度，主动回避与供应商私下接触，所有技术参数论证均邀请纪检人员列席，确保公开透明。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2. 数据管理：严格遵守客户信息保密规定，未发生违规查询、下载、传输敏感数据行为。全年配合完成数据安全自查3次，未发现违规问题。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3. 项目实施：参与系统建设过程中，严格执行验收标准，不收受开发商礼金礼品，不参加可能影响公正执行公务的宴请活动。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（三）配合监督执纪工作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全年配合部门完成廉政风险排查2次，针对信息技术岗位梳理出"系统权限分配""外包人员管理""设备报废处置"等3项廉政风险点，并制定相应防控措施。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二、遵守党章党规党纪、廉洁从业及执行中央八项规定精神情况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（一）个人廉洁自律情况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1. 无违纪违规行为：本年度未发生违反党章党规党纪、廉洁从业要求的行为，未受到党纪政纪处分或组织处理。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2. 严格执行八项规定：未接受管理服务对象安排的宴请、旅游、健身等活动；未违规收送礼品礼金、消费卡券；未违规使用公务用车、办公用房；未违规操办婚丧喜庆事宜。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3. 如实报告个人事项：按时如实填报个人有关事项报告表，无漏报瞒报。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（二）家风家教情况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注重家庭家教家风建设，配偶及子女无经商办企业行为，无利用本人职权或职务影响谋取私利情况。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三、下一步努力和改进方向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（一）存在问题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1. 理论学习深度不够：对党纪法规的学习还停留在通读层面，结合信息技术岗位实际的思考不够深入。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2. 风险防控意识需加强：对外包人员日常管理的监督还不够细致，存在"老好人"思想。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3. 廉政教育形式单一：在科室内部廉政提醒主要靠会议传达，创新手段不多。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（二）改进措施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1. 深化理论武装：制定个人学习计划，每月至少研读1篇党风廉政建设相关文件或案例，结合岗位实际撰写剖析材料。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2. 织密监督网络：建立外包人员廉政档案，实行季度谈话提醒制度，发现问题早提醒、早纠正。</w:t>
      </w:r>
    </w:p>
    <w:p>
      <w:pPr>
        <w:spacing w:line="360" w:lineRule="auto"/>
        <w:ind w:firstLine="720"/>
      </w:pPr>
      <w:r>
        <w:rPr>
          <w:rFonts w:ascii="仿宋_GB2312" w:hAnsi="仿宋_GB2312" w:eastAsia="仿宋_GB2312"/>
          <w:b w:val="0"/>
          <w:sz w:val="24"/>
        </w:rPr>
        <w:t>3. 创新教育形式：利用信息技术优势，探索"微课堂""案例视频"等新形式，增强廉政教育实效。</w:t>
      </w:r>
    </w:p>
    <w:p/>
    <w:p/>
    <w:p>
      <w:pPr>
        <w:jc w:val="right"/>
      </w:pPr>
      <w:r>
        <w:rPr>
          <w:rFonts w:ascii="仿宋_GB2312" w:hAnsi="仿宋_GB2312" w:eastAsia="仿宋_GB2312"/>
          <w:b w:val="0"/>
          <w:sz w:val="24"/>
        </w:rPr>
        <w:t>以上报告，请审阅。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