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jc w:val="center"/>
      </w:pPr>
      <w:r>
        <w:rPr>
          <w:rFonts w:ascii="Times New Roman" w:hAnsi="Times New Roman"/>
          <w:b/>
          <w:sz w:val="24"/>
        </w:rPr>
        <w:t>Chapter II</w:t>
      </w:r>
    </w:p>
    <w:p>
      <w:pPr>
        <w:spacing w:before="0" w:after="0" w:line="480" w:lineRule="auto"/>
        <w:jc w:val="center"/>
      </w:pPr>
      <w:r>
        <w:rPr>
          <w:rFonts w:ascii="Times New Roman" w:hAnsi="Times New Roman"/>
          <w:b/>
          <w:sz w:val="24"/>
        </w:rPr>
        <w:t>Review of the Relevant Literature</w:t>
      </w:r>
    </w:p>
    <w:p>
      <w:pPr>
        <w:spacing w:before="0" w:after="0" w:line="480" w:lineRule="auto"/>
        <w:ind w:firstLine="720"/>
        <w:jc w:val="left"/>
      </w:pPr>
      <w:r>
        <w:rPr>
          <w:rFonts w:ascii="Times New Roman" w:hAnsi="Times New Roman"/>
          <w:sz w:val="24"/>
        </w:rPr>
        <w:t>As commercial aviation navigates a period of sustained traffic expansion that threatens to outpace the physical limitations of existing terminal infrastructure (Federal Aviation Administration [FAA], 2024; International Air Transport Association [IATA], 2026), the prohibitive financial and spatial costs of continuous brick-and-mortar expansion have shifted operational focus toward software-driven, data-informed terminal capacity management (AlKheder et al., 2024; Balliauw &amp; Onghena, 2020; De Neufville &amp; Odoni, 2014; Ozores, 2026). Airport landside subsystems—specifically ticketing lobbies, security screening checkpoints, and departure gate hold-rooms—operate as tightly coupled stochastic queuing networks. When passenger demand surges outstrip processing capacity at security screening, congestion ripples backward into ticketing halls and forward into departure concourses, inducing boarding holds, tarmac delays, and passenger misconnections across the National Airspace System (Adacher et al., 2017). Historically, airport passenger flow modeling prioritized statistical fit and mean throughput optimization under static operating assumptions. However, the unprecedented systemic shocks of the COVID-19 pandemic and subsequent recovery demonstrated that models calibrated solely on clear-weather historical averages fail catastrophically during operational disruptions (Sun et al., 2022).</w:t>
      </w:r>
    </w:p>
    <w:p>
      <w:pPr>
        <w:spacing w:before="0" w:after="0" w:line="480" w:lineRule="auto"/>
        <w:ind w:firstLine="720"/>
        <w:jc w:val="left"/>
      </w:pPr>
      <w:r>
        <w:rPr>
          <w:rFonts w:ascii="Times New Roman" w:hAnsi="Times New Roman"/>
          <w:sz w:val="24"/>
        </w:rPr>
        <w:t>To address these vulnerabilities, this literature review traces the evolution of airport passenger flow prediction across five core theoretical domains: (a) traditional approaches and operational complexity, examining how airline flight banks violate classical Poisson assumptions and demonstrating why heavy-traffic queuing principles mandate modeling throughput volatility rather than mean volume; (b) simulation modeling and real-time terminal management, evaluating the structural strengths of Discrete Event Simulation alongside its severe tactical limitations during live disruptions; (c) time-series analysis and machine learning, comparing linear statistical models with deep sequence architectures and tree-based ensembles while examining administrative barriers of black-box opacity and spatial transfer degradation; (d) hybrid predictive architectures, exploring methodologies that couple deterministic flight schedules and empirical show-up curves with machine-learned residual estimators and recursive state-space error feedback; and (e) multi-dimensional operational evaluation, establishing the theoretical foundations for the evaluation triad—Robustness, Resilience, and Generalizability—that governs this research.</w:t>
      </w:r>
    </w:p>
    <w:p>
      <w:pPr>
        <w:spacing w:before="0" w:after="0" w:line="480" w:lineRule="auto"/>
        <w:jc w:val="left"/>
      </w:pPr>
      <w:r>
        <w:rPr>
          <w:rFonts w:ascii="Times New Roman" w:hAnsi="Times New Roman"/>
          <w:b/>
          <w:sz w:val="24"/>
        </w:rPr>
        <w:t>Traditional Approaches and Operational Complexity</w:t>
      </w:r>
    </w:p>
    <w:p>
      <w:pPr>
        <w:spacing w:before="0" w:after="0" w:line="480" w:lineRule="auto"/>
        <w:jc w:val="left"/>
      </w:pPr>
      <w:r>
        <w:rPr>
          <w:rFonts w:ascii="Times New Roman" w:hAnsi="Times New Roman"/>
          <w:b/>
          <w:i/>
          <w:sz w:val="24"/>
        </w:rPr>
        <w:t>Subsystem Coupling, Terminal Capacity Limits, and Security Bottlenecks</w:t>
      </w:r>
    </w:p>
    <w:p>
      <w:pPr>
        <w:spacing w:before="0" w:after="0" w:line="480" w:lineRule="auto"/>
        <w:ind w:firstLine="720"/>
        <w:jc w:val="left"/>
      </w:pPr>
      <w:r>
        <w:rPr>
          <w:rFonts w:ascii="Times New Roman" w:hAnsi="Times New Roman"/>
          <w:sz w:val="24"/>
        </w:rPr>
        <w:t>Commercial airport terminals are complex operational ecosystems where physical space, human behavior, and airline schedules intersect (Birolini &amp; Jacquillat, 2023; Nazir et al., 2022; Solak et al., 2009; Zhang et al., 2012). Grounded in the foundational infrastructure planning principles of De Neufville and Odoni (2014), terminal landside subsystems operate in a state of delicate interdependency: local bottlenecks at upstream ticketing check-in counters or downstream security checkpoints rapidly propagate across the entire facility (Adacher &amp; Flamini, 2020; Chiti et al., 2018). In an empirical assessment of terminal processing subsystems, Alnowibet et al. (2022) demonstrated at Cairo International Airport that server utilization routinely exceeds physical processing capacity during scheduled peak hours, triggering acute passenger queues that cascade across concourses.</w:t>
      </w:r>
    </w:p>
    <w:p>
      <w:pPr>
        <w:spacing w:before="0" w:after="0" w:line="480" w:lineRule="auto"/>
        <w:ind w:firstLine="720"/>
        <w:jc w:val="left"/>
      </w:pPr>
      <w:r>
        <w:rPr>
          <w:rFonts w:ascii="Times New Roman" w:hAnsi="Times New Roman"/>
          <w:sz w:val="24"/>
        </w:rPr>
        <w:t>To quantify terminal congestion, early civil engineering frameworks established Level of Service (LOS) standards based on spatial passenger density and allowable waiting times (Fernandes &amp; Pacheco, 2002; Lemer, 1988; Parizi &amp; Braaksma, 1994). However, as passenger demand approached terminal capacity limits, static LOS thresholds proved inadequate for managing dynamic queues (Di Mascio et al., 2020; Orhan &amp; Orhan, 2020). Using bottleneck detection algorithms and virtual queuing simulations, Liu (2018) and Lu et al. (2018) identified Transportation Security Administration (TSA) passenger screening checkpoints as the primary rate-limiting decelerator of overall passenger flow. Furthermore, Marzuoli et al. (2019) verified that screening line delays propagate directly into airside operations, inducing gate pushback holds and slot misallocations. In modeling sequential terminal operations, Hess and Grbčić (2019) demonstrated that terminals function as multiphase queuing networks where upstream delays multiply downstream service backlogs. Micro-level analyses by Wei (2017) and Zhang et al. (2017) using Generalized Stochastic Petri Nets (GSPN) proved that idle "dead time" between divestiture, walk-through metal detectors, and luggage retrieval severely depresses effective checkpoint service rates (μ), making security screening the pivotal operational bottleneck in airport landside infrastructure.</w:t>
      </w:r>
    </w:p>
    <w:p>
      <w:pPr>
        <w:spacing w:before="0" w:after="0" w:line="480" w:lineRule="auto"/>
        <w:jc w:val="left"/>
      </w:pPr>
      <w:r>
        <w:rPr>
          <w:rFonts w:ascii="Times New Roman" w:hAnsi="Times New Roman"/>
          <w:b/>
          <w:i/>
          <w:sz w:val="24"/>
        </w:rPr>
        <w:t>Batch Arrival Dynamics and Flight Bank Synchronization</w:t>
      </w:r>
    </w:p>
    <w:p>
      <w:pPr>
        <w:spacing w:before="0" w:after="0" w:line="480" w:lineRule="auto"/>
        <w:ind w:firstLine="720"/>
        <w:jc w:val="left"/>
      </w:pPr>
      <w:r>
        <w:rPr>
          <w:rFonts w:ascii="Times New Roman" w:hAnsi="Times New Roman"/>
          <w:sz w:val="24"/>
        </w:rPr>
        <w:t>A fundamental operational challenge in airport passenger demand forecasting is that passenger arrivals do not follow a uniform, steady stream. Rather, passenger arrivals are characterized by extreme non-linear fluctuations and concentrated "batches" induced by airline flight bank scheduling (Cheng et al., 2012; Peterson et al., 1995). In hub-and-spoke networks, commercial airlines deliberately compress 20 to 40 flight departures into narrow 45-to-90-minute waves to maximize passenger transfer opportunities (Schultz &amp; Fricke, 2011). Consequently, terminal screening checkpoints experience severe demand surges that saturate screening lane capacity far more rapidly than smooth, continuous arrival streams (Dönmez et al., 2025). As Peterson et al. (1995) proved in their foundational mathematical analysis of airport congestion, flight banking produces transient, non-stationary queuing states where sudden demand bursts generate queues that persist long after the flight bank has departed.</w:t>
      </w:r>
    </w:p>
    <w:p>
      <w:pPr>
        <w:spacing w:before="0" w:after="0" w:line="480" w:lineRule="auto"/>
        <w:jc w:val="left"/>
      </w:pPr>
      <w:r>
        <w:rPr>
          <w:rFonts w:ascii="Times New Roman" w:hAnsi="Times New Roman"/>
          <w:b/>
          <w:i/>
          <w:sz w:val="24"/>
        </w:rPr>
        <w:t>Classical Queuing Theory: Volume Versus Volatility</w:t>
      </w:r>
    </w:p>
    <w:p>
      <w:pPr>
        <w:spacing w:before="0" w:after="0" w:line="480" w:lineRule="auto"/>
        <w:ind w:firstLine="720"/>
        <w:jc w:val="left"/>
      </w:pPr>
      <w:r>
        <w:rPr>
          <w:rFonts w:ascii="Times New Roman" w:hAnsi="Times New Roman"/>
          <w:sz w:val="24"/>
        </w:rPr>
        <w:t>To translate unpredictable passenger movements into quantifiable system states, traditional airport planning has relied upon Queuing Theory (Horie, 1985; Odoni, 1986; Wang, 2017)—the mathematical study of waiting lines and server allocation. Early terminal capacity models utilized Poisson arrival distributions (such as M/M/s or M/G/s queuing formulas, which calculate queue lengths and wait times based on assumed random arrival rates and screening speeds) relative to target Level of Service benchmarks (Araujo &amp; Repolho, 2015). However, classical Poisson models rest on the assumption of a constant, time-invariant arrival rate (λ), which fails in commercial airports where flight banks generate severe non-linear fluctuations (Wang, 2018). While researchers subsequently transitioned toward Non-Homogeneous Poisson Processes (NHPP; Brunetta et al., 1999) to incorporate time-varying arrival rates λ(t) and reconcile published schedules with observed arrival waves (Nikoue et al., 2015), NHPP formulations remain conceptually constrained in two decisive ways. First, NHPP models evaluate queuing almost exclusively through expected mean volume (the first-order moment: μ = E[Y]). Second, by preserving the Poisson assumption of independent inter-arrival times, NHPP models fail to account for the high correlation among passengers arriving for the same ticketed flight bank and ignore the shielding effect of airside connecting passengers (Adeke, 2018; Guo et al., 2022).</w:t>
      </w:r>
    </w:p>
    <w:p>
      <w:pPr>
        <w:spacing w:before="0" w:after="0" w:line="480" w:lineRule="auto"/>
        <w:jc w:val="left"/>
      </w:pPr>
      <w:r>
        <w:rPr>
          <w:rFonts w:ascii="Times New Roman" w:hAnsi="Times New Roman"/>
          <w:b/>
          <w:i/>
          <w:sz w:val="24"/>
        </w:rPr>
        <w:t>Second-Order Queuing Volatility: The Kingman and Allen-Cunneen Formulation</w:t>
      </w:r>
    </w:p>
    <w:p>
      <w:pPr>
        <w:spacing w:before="0" w:after="0" w:line="480" w:lineRule="auto"/>
        <w:ind w:firstLine="720"/>
        <w:jc w:val="left"/>
      </w:pPr>
      <w:r>
        <w:rPr>
          <w:rFonts w:ascii="Times New Roman" w:hAnsi="Times New Roman"/>
          <w:sz w:val="24"/>
        </w:rPr>
        <w:t>In operational reality, heavy-traffic queuing principles (Kingman, 1961; Whitt, 1993) demonstrate that expected queue wait times (Wq) and passenger backlogs in general G/G/s screening facilities scale not with mean volume, but linearly with the squared coefficient of variation of arrival times (Ca^2) and service times (Cs^2) via the Allen-Cunneen approximation:</w:t>
      </w:r>
    </w:p>
    <w:p>
      <w:pPr>
        <w:spacing w:before="0" w:after="0" w:line="480" w:lineRule="auto"/>
        <w:ind w:firstLine="720"/>
        <w:jc w:val="left"/>
      </w:pPr>
      <w:r>
        <w:rPr>
          <w:rFonts w:ascii="Times New Roman" w:hAnsi="Times New Roman"/>
          <w:sz w:val="24"/>
        </w:rPr>
        <w:t>where ρ = λ / (s·μ) represents checkpoint lane utilization. As checkpoint utilization approaches capacity (ρ → 1.0) during morning and evening departure peaks, the utilization multiplier grows exponentially. Under these heavy-traffic conditions, any increase in arrival volatility (Ca^2) triggers dramatic queue length expansion and terminal crowd surges. Modeling and forecasting throughput volatility (σ_TSA and CV_TSA) is therefore the vital prerequisite for robust lane staffing, operational stability, and passenger delay mitigation (Adeke, 2018; Guo et al., 2022).</w:t>
      </w:r>
    </w:p>
    <w:p>
      <w:pPr>
        <w:spacing w:before="0" w:after="0" w:line="480" w:lineRule="auto"/>
        <w:jc w:val="left"/>
      </w:pPr>
      <w:r>
        <w:rPr>
          <w:rFonts w:ascii="Times New Roman" w:hAnsi="Times New Roman"/>
          <w:b/>
          <w:i/>
          <w:sz w:val="24"/>
        </w:rPr>
        <w:t>The "Values versus Volatility" Paradigm in Transportation Demand</w:t>
      </w:r>
    </w:p>
    <w:p>
      <w:pPr>
        <w:spacing w:before="0" w:after="0" w:line="480" w:lineRule="auto"/>
        <w:ind w:firstLine="720"/>
        <w:jc w:val="left"/>
      </w:pPr>
      <w:r>
        <w:rPr>
          <w:rFonts w:ascii="Times New Roman" w:hAnsi="Times New Roman"/>
          <w:sz w:val="24"/>
        </w:rPr>
        <w:t>In modern econometric and volatility forecasting literature (Andersen &amp; Bollerslev, 1998; Engle, 2001; Hansen &amp; Lunde, 2005), a central research question is whether predicting the volatility of a stochastic process requires tracking the values (levels, volumes, and magnitudes) of explanatory variables, the volatility (dispersion, standard deviations, and coefficients of variation) of those variables, or a dual combined representation. In commercial aviation operations, this duality manifests across two operational horizons:</w:t>
      </w:r>
    </w:p>
    <w:p>
      <w:pPr>
        <w:spacing w:before="0" w:after="0" w:line="480" w:lineRule="auto"/>
        <w:ind w:firstLine="720"/>
        <w:jc w:val="left"/>
      </w:pPr>
      <w:r>
        <w:rPr>
          <w:rFonts w:ascii="Times New Roman" w:hAnsi="Times New Roman"/>
          <w:b/>
          <w:sz w:val="24"/>
        </w:rPr>
        <w:t xml:space="preserve">Intraday Diurnal Volatility. </w:t>
      </w:r>
      <w:r>
        <w:rPr>
          <w:rFonts w:ascii="Times New Roman" w:hAnsi="Times New Roman"/>
          <w:sz w:val="24"/>
        </w:rPr>
        <w:t>The within-day standard deviation (σ_TSA, hr) naturally scales with airport passenger volume due to Tweedie-Poisson compound dispersion (Var(Y) ∝ μ^p), allowing feature values (e.g., total scheduled flights, aircraft seats) to serve as a strong baseline predictor. However, when normalized into scale-free relative burstiness (CV_TSA, hr = σ/μ), volume levels lose explanatory power.</w:t>
      </w:r>
    </w:p>
    <w:p>
      <w:pPr>
        <w:spacing w:before="0" w:after="0" w:line="480" w:lineRule="auto"/>
        <w:ind w:firstLine="720"/>
        <w:jc w:val="left"/>
      </w:pPr>
      <w:r>
        <w:rPr>
          <w:rFonts w:ascii="Times New Roman" w:hAnsi="Times New Roman"/>
          <w:b/>
          <w:sz w:val="24"/>
        </w:rPr>
        <w:t xml:space="preserve">Multi-Day Rolling Volatility. </w:t>
      </w:r>
      <w:r>
        <w:rPr>
          <w:rFonts w:ascii="Times New Roman" w:hAnsi="Times New Roman"/>
          <w:sz w:val="24"/>
        </w:rPr>
        <w:t>Over multi-day horizons (σ_TSA, 7d), static flight volumes remain largely unchanged across seasonal schedules. Consequently, models relying exclusively on static feature values fail to anticipate medium-term passenger turbulence. Forecasting disruption-driven turbulence requires tracking the volatility of operational features—specifically rolling schedule variance (σ_sched), flight cancellation volatility (CV_cancel), and departure delay dispersion (σ_Delay) (Hopfe et al., 2024).</w:t>
      </w:r>
    </w:p>
    <w:p>
      <w:pPr>
        <w:spacing w:before="0" w:after="0" w:line="480" w:lineRule="auto"/>
        <w:jc w:val="left"/>
      </w:pPr>
      <w:r>
        <w:rPr>
          <w:rFonts w:ascii="Times New Roman" w:hAnsi="Times New Roman"/>
          <w:b/>
          <w:sz w:val="24"/>
        </w:rPr>
        <w:t>Simulation Modeling and Real-Time Terminal Management</w:t>
      </w:r>
    </w:p>
    <w:p>
      <w:pPr>
        <w:spacing w:before="0" w:after="0" w:line="480" w:lineRule="auto"/>
        <w:jc w:val="left"/>
      </w:pPr>
      <w:r>
        <w:rPr>
          <w:rFonts w:ascii="Times New Roman" w:hAnsi="Times New Roman"/>
          <w:b/>
          <w:i/>
          <w:sz w:val="24"/>
        </w:rPr>
        <w:t>Discrete Event Simulation in Terminal Planning and Asset Allocation</w:t>
      </w:r>
    </w:p>
    <w:p>
      <w:pPr>
        <w:spacing w:before="0" w:after="0" w:line="480" w:lineRule="auto"/>
        <w:ind w:firstLine="720"/>
        <w:jc w:val="left"/>
      </w:pPr>
      <w:r>
        <w:rPr>
          <w:rFonts w:ascii="Times New Roman" w:hAnsi="Times New Roman"/>
          <w:sz w:val="24"/>
        </w:rPr>
        <w:t>To overcome the mathematical rigidities of analytical queuing equations, airport planners widely adopted Discrete Event Simulation (DES) (Brown &amp; Madhavan, 2011; Leone &amp; Liu, 2011). Unlike static analytical spreadsheets, DES models track individual simulated passengers through a chronological sequence of discrete physical milestones: ticket scanning, divestiture (removing shoes, outer garments, laptops, and liquids for X-ray inspection), body scanning, and item retrieval. In operational planning, these micro-simulation frameworks proved highly effective for static terminal dimensioning. Guizzi et al. (2009) demonstrated that simulating passenger trajectories from check-in through security screening allowed planners to model queuing interdependencies, while Parlar et al. (2016) used event-based simulations to optimize dynamic counter opening schedules. Furthermore, Nwofia and Chung (2013) highlighted the utility of simulation in linking terminal architectural layouts to long-term service performance, enabling airport authorities to evaluate proposed flight schedules and lane configurations under synthetic operating loads (Araujo &amp; Repolho, 2015; Ateş et al., 2021). Stochastic planning methodologies (Verki et al., 2013), virtual terminal infrastructure tracking (Edwards, 2026), and simulated human behavioral loads (Perez, 2021) supported asset distribution, while algorithm-based congestion detection (Palaşcă &amp; Stăncel, 2025) recontextualized Poisson queuing within dynamic monitoring frameworks. Additionally, simulation environments such as ARENA (Olusanya et al., 2020; Oprea et al., 2024) and simulation data farming (Patrón et al., 2021) have served as offline synthetic data generators for evaluating security subsystems.</w:t>
      </w:r>
    </w:p>
    <w:p>
      <w:pPr>
        <w:spacing w:before="0" w:after="0" w:line="480" w:lineRule="auto"/>
        <w:jc w:val="left"/>
      </w:pPr>
      <w:r>
        <w:rPr>
          <w:rFonts w:ascii="Times New Roman" w:hAnsi="Times New Roman"/>
          <w:b/>
          <w:i/>
          <w:sz w:val="24"/>
        </w:rPr>
        <w:t>The Tripartite Operational Breakdown of Micro-Simulation</w:t>
      </w:r>
    </w:p>
    <w:p>
      <w:pPr>
        <w:spacing w:before="0" w:after="0" w:line="480" w:lineRule="auto"/>
        <w:ind w:firstLine="720"/>
        <w:jc w:val="left"/>
      </w:pPr>
      <w:r>
        <w:rPr>
          <w:rFonts w:ascii="Times New Roman" w:hAnsi="Times New Roman"/>
          <w:sz w:val="24"/>
        </w:rPr>
        <w:t>Despite high visual fidelity and granular representation of physical terminal corridors, Discrete Event Simulation models exhibit three critical operational failure modes when deployed for real-time tactical airport management:</w:t>
      </w:r>
    </w:p>
    <w:p>
      <w:pPr>
        <w:spacing w:before="0" w:after="0" w:line="480" w:lineRule="auto"/>
        <w:ind w:firstLine="720"/>
        <w:jc w:val="left"/>
      </w:pPr>
      <w:r>
        <w:rPr>
          <w:rFonts w:ascii="Times New Roman" w:hAnsi="Times New Roman"/>
          <w:b/>
          <w:sz w:val="24"/>
        </w:rPr>
        <w:t xml:space="preserve">Calibration Sensitivity and Parameter Brittleness. </w:t>
      </w:r>
      <w:r>
        <w:rPr>
          <w:rFonts w:ascii="Times New Roman" w:hAnsi="Times New Roman"/>
          <w:sz w:val="24"/>
        </w:rPr>
        <w:t>Discrete event simulations are hyper-sensitive to micro-level behavioral calibrations. Brown and Madhavan (2011) demonstrated that minor fluctuations in baseline operational assumptions—such as a 5% increase in secondary carry-on baggage search alarm rates or slight variations in Transportation Security Officer (TSO; federal screening personnel) divestiture coaching times—produce disproportionately massive non-linear swings in predicted checkpoint queue lengths. Because human behaviors during high-stress terminal surges do not adhere to fixed parameter distributions, small calibration errors compound across sequential service stages, undermining forecast credibility for tactical staffing.</w:t>
      </w:r>
    </w:p>
    <w:p>
      <w:pPr>
        <w:spacing w:before="0" w:after="0" w:line="480" w:lineRule="auto"/>
        <w:ind w:firstLine="720"/>
        <w:jc w:val="left"/>
      </w:pPr>
      <w:r>
        <w:rPr>
          <w:rFonts w:ascii="Times New Roman" w:hAnsi="Times New Roman"/>
          <w:b/>
          <w:sz w:val="24"/>
        </w:rPr>
        <w:t xml:space="preserve">Computational Latency During Unfolding Disruption. </w:t>
      </w:r>
      <w:r>
        <w:rPr>
          <w:rFonts w:ascii="Times New Roman" w:hAnsi="Times New Roman"/>
          <w:sz w:val="24"/>
        </w:rPr>
        <w:t>Tactical airport terminal management requires actionable forecast revisions within a 15-to-30-minute operational window. However, simulating hundreds of thousands of individual entity interactions across a multi-terminal hub requires substantial computational time (Takakuwa &amp; Oyama, 2004). During severe flight disruptions, such as summer convective thunderstorm ground stops, airline flight schedules change dynamically every few minutes. Bießlich et al. (2014) showed that DES models suffer acute fidelity collapse during unpredicted flight delays because the computational latency required to re-seed, execute, and average stochastic Monte Carlo runs prevents airport operations centers from deploying them for real-time lane reallocation.</w:t>
      </w:r>
    </w:p>
    <w:p>
      <w:pPr>
        <w:spacing w:before="0" w:after="0" w:line="480" w:lineRule="auto"/>
        <w:ind w:firstLine="720"/>
        <w:jc w:val="left"/>
      </w:pPr>
      <w:r>
        <w:rPr>
          <w:rFonts w:ascii="Times New Roman" w:hAnsi="Times New Roman"/>
          <w:b/>
          <w:sz w:val="24"/>
        </w:rPr>
        <w:t xml:space="preserve">The Passive Traveler Behavioral Assumption. </w:t>
      </w:r>
      <w:r>
        <w:rPr>
          <w:rFonts w:ascii="Times New Roman" w:hAnsi="Times New Roman"/>
          <w:sz w:val="24"/>
        </w:rPr>
        <w:t>Standard discrete event simulations treat airline passengers as passive physical particles adhering to rigid, pre-programmed logic paths (Alodhaibi et al., 2017). In modern commercial aviation, however, passengers are proactive, information-empowered agents. When airlines issue mobile flight delay alerts, passenger arrival distributions shift dynamically: business travelers delay their arrival at the airport, while leisure travelers with checked luggage may arrive early to negotiate flight rebookings. Because DES architectures cannot readily incorporate real-time behavioral adaptation without cumbersome rule re-engineering, their ability to model live terminal volatility remains fundamentally constrained.</w:t>
      </w:r>
    </w:p>
    <w:p>
      <w:pPr>
        <w:spacing w:before="0" w:after="0" w:line="480" w:lineRule="auto"/>
        <w:jc w:val="left"/>
      </w:pPr>
      <w:r>
        <w:rPr>
          <w:rFonts w:ascii="Times New Roman" w:hAnsi="Times New Roman"/>
          <w:b/>
          <w:sz w:val="24"/>
        </w:rPr>
        <w:t>Time-Series Analysis and Data-Driven Predictive Frameworks</w:t>
      </w:r>
    </w:p>
    <w:p>
      <w:pPr>
        <w:spacing w:before="0" w:after="0" w:line="480" w:lineRule="auto"/>
        <w:jc w:val="left"/>
      </w:pPr>
      <w:r>
        <w:rPr>
          <w:rFonts w:ascii="Times New Roman" w:hAnsi="Times New Roman"/>
          <w:b/>
          <w:i/>
          <w:sz w:val="24"/>
        </w:rPr>
        <w:t>Statistical Time-Series Foundations and Linear Limitations</w:t>
      </w:r>
    </w:p>
    <w:p>
      <w:pPr>
        <w:spacing w:before="0" w:after="0" w:line="480" w:lineRule="auto"/>
        <w:ind w:firstLine="720"/>
        <w:jc w:val="left"/>
      </w:pPr>
      <w:r>
        <w:rPr>
          <w:rFonts w:ascii="Times New Roman" w:hAnsi="Times New Roman"/>
          <w:sz w:val="24"/>
        </w:rPr>
        <w:t>To achieve faster, automated forecasts without the computational latency of micro-simulation, transportation planners turned to empirical time-series models, such as Autoregressive Integrated Moving Average (ARIMA) and Seasonal ARIMA (SARIMA) formulations (Box et al., 2015; Hyndman &amp; Athanasopoulos, 2018; Li et al., 2017). These models predict future passenger throughput by capturing the dominant diurnal (24-hour) and day-of-week (168-hour) cyclical rhythms of airport operations (Babu, 2014; Saki &amp; Soori, 2026). When augmented with exogenous variables (SARIMAX)—such as published airline scheduled seat capacity—they provide computationally lightweight, transparent baseline estimates. However, linear time-series formulations struggle during operational structural breaks, such as severe weather ground stops, because they assume fixed historical relationships that cannot accommodate sudden delay cascades (Lin et al., 2023). When flight schedules diverge from historical patterns, SARIMA's autoregressive error lags predict phantom demand or miss delayed surges entirely, highlighting the necessity of non-linear predictive techniques.</w:t>
      </w:r>
    </w:p>
    <w:p>
      <w:pPr>
        <w:spacing w:before="0" w:after="0" w:line="480" w:lineRule="auto"/>
        <w:jc w:val="left"/>
      </w:pPr>
      <w:r>
        <w:rPr>
          <w:rFonts w:ascii="Times New Roman" w:hAnsi="Times New Roman"/>
          <w:b/>
          <w:i/>
          <w:sz w:val="24"/>
        </w:rPr>
        <w:t>Non-Linear Machine Learning: Deep Learning Versus Tree Ensembles</w:t>
      </w:r>
    </w:p>
    <w:p>
      <w:pPr>
        <w:spacing w:before="0" w:after="0" w:line="480" w:lineRule="auto"/>
        <w:ind w:firstLine="720"/>
        <w:jc w:val="left"/>
      </w:pPr>
      <w:r>
        <w:rPr>
          <w:rFonts w:ascii="Times New Roman" w:hAnsi="Times New Roman"/>
          <w:sz w:val="24"/>
        </w:rPr>
        <w:t>To model complex non-linear relationships that linear statistical models cannot represent, recent aviation literature has explored machine learning algorithms, including deep sequence models such as Long Short-Term Memory (LSTM) recurrent networks, Gated Recurrent Units (GRU), and tree ensembles like Gradient-Boosted Decision Trees (GBM) (Hewamalage et al., 2021; Hopfe et al., 2024; Orsini et al., 2019; Ribeiro et al., 2025). While deep neural networks can approximate complex multi-source interactions (e.g., weather indices, search engine trends, flight departure status), tabular decision-tree ensembles have demonstrated superior empirical efficacy in aviation operational prediction. In a rigorous comparative benchmark of terminal passenger flow models, Hopfe et al. (2024) proved that Gradient-Boosted Decision Trees systematically outperform deep recurrent architectures on structured tabular flight data, achieving lower forecast error and greater numerical stability while avoiding the massive compute requirements of neural networks. Furthermore, Ribeiro et al. (2025) demonstrated that tree-based gradient boosting enables interpretable decision rules under flight delay uncertainty, allowing operational controllers to extract actionable screening queue thresholds.</w:t>
      </w:r>
    </w:p>
    <w:p>
      <w:pPr>
        <w:spacing w:before="0" w:after="0" w:line="480" w:lineRule="auto"/>
        <w:jc w:val="left"/>
      </w:pPr>
      <w:r>
        <w:rPr>
          <w:rFonts w:ascii="Times New Roman" w:hAnsi="Times New Roman"/>
          <w:b/>
          <w:i/>
          <w:sz w:val="24"/>
        </w:rPr>
        <w:t>Operational Barriers to Deep Neural Architectures in Security Infrastructure</w:t>
      </w:r>
    </w:p>
    <w:p>
      <w:pPr>
        <w:spacing w:before="0" w:after="0" w:line="480" w:lineRule="auto"/>
        <w:ind w:firstLine="720"/>
        <w:jc w:val="left"/>
      </w:pPr>
      <w:r>
        <w:rPr>
          <w:rFonts w:ascii="Times New Roman" w:hAnsi="Times New Roman"/>
          <w:sz w:val="24"/>
        </w:rPr>
        <w:t>Despite their theoretical expressiveness, end-to-end deep neural networks face severe operational and administrative barriers that prevent their adoption in commercial airport security environments:</w:t>
      </w:r>
    </w:p>
    <w:p>
      <w:pPr>
        <w:spacing w:before="0" w:after="0" w:line="480" w:lineRule="auto"/>
        <w:ind w:firstLine="720"/>
        <w:jc w:val="left"/>
      </w:pPr>
      <w:r>
        <w:rPr>
          <w:rFonts w:ascii="Times New Roman" w:hAnsi="Times New Roman"/>
          <w:b/>
          <w:sz w:val="24"/>
        </w:rPr>
        <w:t xml:space="preserve">The "Black-Box" Interpretability Hurdle. </w:t>
      </w:r>
      <w:r>
        <w:rPr>
          <w:rFonts w:ascii="Times New Roman" w:hAnsi="Times New Roman"/>
          <w:sz w:val="24"/>
        </w:rPr>
        <w:t>Airport Federal Security Directors (FSDs) and TSA operations planners operate under strict administrative, security, and staffing budget mandates. FSDs cannot commit multimillion-dollar security screening labor allocations or deploy overtime checkpoint personnel based on opaque, uninterpretable neural network weights (Adadi &amp; Berrada, 2018; Viaña et al., 2024). When an algorithm predicts an unexpected surge, security leadership requires defensible, rule-based explanations grounded in scheduled flight departures and upstream airside delays before reallocating federal screening officers.</w:t>
      </w:r>
    </w:p>
    <w:p>
      <w:pPr>
        <w:spacing w:before="0" w:after="0" w:line="480" w:lineRule="auto"/>
        <w:ind w:firstLine="720"/>
        <w:jc w:val="left"/>
      </w:pPr>
      <w:r>
        <w:rPr>
          <w:rFonts w:ascii="Times New Roman" w:hAnsi="Times New Roman"/>
          <w:b/>
          <w:sz w:val="24"/>
        </w:rPr>
        <w:t xml:space="preserve">Facility-Specific Over-Specialization and Spatial Transfer Degradation. </w:t>
      </w:r>
      <w:r>
        <w:rPr>
          <w:rFonts w:ascii="Times New Roman" w:hAnsi="Times New Roman"/>
          <w:sz w:val="24"/>
        </w:rPr>
        <w:t>Highly parameterized deep neural networks tend to memorize terminal-specific spatial configurations, local carrier flight bank timings, and idiosyncratic gate walking distances. In a comprehensive spatial transferability study, Wang et al. (2025) proved that end-to-end deep learning models suffer severe performance degradation (error inflation exceeding 40%) when transferred zero-shot to an unfamiliar airport facility. This facility over-specialization prevents the national deployment of deep neural networks across heterogeneous commercial airports without costly, site-specific retraining.</w:t>
      </w:r>
    </w:p>
    <w:p>
      <w:pPr>
        <w:spacing w:before="0" w:after="0" w:line="480" w:lineRule="auto"/>
        <w:jc w:val="left"/>
      </w:pPr>
      <w:r>
        <w:rPr>
          <w:rFonts w:ascii="Times New Roman" w:hAnsi="Times New Roman"/>
          <w:b/>
          <w:i/>
          <w:sz w:val="24"/>
        </w:rPr>
        <w:t>From Passive Prediction to Active Control and Passenger Guidance</w:t>
      </w:r>
    </w:p>
    <w:p>
      <w:pPr>
        <w:spacing w:before="0" w:after="0" w:line="480" w:lineRule="auto"/>
        <w:ind w:firstLine="720"/>
        <w:jc w:val="left"/>
      </w:pPr>
      <w:r>
        <w:rPr>
          <w:rFonts w:ascii="Times New Roman" w:hAnsi="Times New Roman"/>
          <w:sz w:val="24"/>
        </w:rPr>
        <w:t>Recognizing the limits of passive flow prediction, recent transportation literature has explored active control frameworks where predictive models inform real-time operational decisions. Multi-agent reinforcement learning has been utilized to model proactive passenger navigation under terminal constraints (Li &amp; Gao, 2023), although Anagnostopoulou et al. (2024) documented persistent functional gaps in capturing actual flow volumes. To close the loop between prediction and tactical intervention, Diaz-Gutierrez et al. (2025) developed Model Predictive Control (MPC) algorithms that integrate stochastic terminal dynamics into automated resource optimization loops. Concurrently, Lee et al. (2025) and Yang et al. (2022) formulated dynamic passenger guidance and rescheduling strategies to balance crowding across parallel departure checkpoints in real time. These active control formulations demonstrate that high-utility forecasting tools must provide transparent, actionable inputs that align directly with operational decision rules.</w:t>
      </w:r>
    </w:p>
    <w:p>
      <w:pPr>
        <w:spacing w:before="0" w:after="0" w:line="480" w:lineRule="auto"/>
        <w:jc w:val="left"/>
      </w:pPr>
      <w:r>
        <w:rPr>
          <w:rFonts w:ascii="Times New Roman" w:hAnsi="Times New Roman"/>
          <w:b/>
          <w:sz w:val="24"/>
        </w:rPr>
        <w:t>Hybrid Architectures: Combining Operational Structure with Data-Driven Adaptability</w:t>
      </w:r>
    </w:p>
    <w:p>
      <w:pPr>
        <w:spacing w:before="0" w:after="0" w:line="480" w:lineRule="auto"/>
        <w:jc w:val="left"/>
      </w:pPr>
      <w:r>
        <w:rPr>
          <w:rFonts w:ascii="Times New Roman" w:hAnsi="Times New Roman"/>
          <w:b/>
          <w:i/>
          <w:sz w:val="24"/>
        </w:rPr>
        <w:t>Coupling Physical Flow Conservation with Machine Learning</w:t>
      </w:r>
    </w:p>
    <w:p>
      <w:pPr>
        <w:spacing w:before="0" w:after="0" w:line="480" w:lineRule="auto"/>
        <w:ind w:firstLine="720"/>
        <w:jc w:val="left"/>
      </w:pPr>
      <w:r>
        <w:rPr>
          <w:rFonts w:ascii="Times New Roman" w:hAnsi="Times New Roman"/>
          <w:sz w:val="24"/>
        </w:rPr>
        <w:t>To resolve the tension between the domain transparency of first-principles queuing models and the non-linear predictive flexibility of machine learning, transportation researchers have converged toward hybrid architectures (Brun et al., 2025; Had et al., 2025; Jenčová et al., 2025). Rather than treating terminal demand as an unconstrained black-box regression problem, effective hybrid frameworks decouple terminal passenger flow into a two-stage sequential pipeline: a deterministic operational baseline capturing physical schedule structure, paired with a machine-learned residual estimator capturing operational disruptions, augmented by dynamic feedback. While deep fusion models (He et al., 2024) and decision forest ensembles (Blasco-Puyuelo et al., 2023; Xia et al., 2020) combine heterogeneous predictive pathways, operational viability in airport security environments requires structural simplicity and auditability.</w:t>
      </w:r>
    </w:p>
    <w:p>
      <w:pPr>
        <w:spacing w:before="0" w:after="0" w:line="480" w:lineRule="auto"/>
        <w:jc w:val="left"/>
      </w:pPr>
      <w:r>
        <w:rPr>
          <w:rFonts w:ascii="Times New Roman" w:hAnsi="Times New Roman"/>
          <w:b/>
          <w:i/>
          <w:sz w:val="24"/>
        </w:rPr>
        <w:t>First-Principles Operational Baseline: Flight Schedules, ACRP Report 40, and DB1B Connecting Deflation</w:t>
      </w:r>
    </w:p>
    <w:p>
      <w:pPr>
        <w:spacing w:before="0" w:after="0" w:line="480" w:lineRule="auto"/>
        <w:ind w:firstLine="720"/>
        <w:jc w:val="left"/>
      </w:pPr>
      <w:r>
        <w:rPr>
          <w:rFonts w:ascii="Times New Roman" w:hAnsi="Times New Roman"/>
          <w:sz w:val="24"/>
        </w:rPr>
        <w:t>The structural foundation of a defensible terminal model relies on published flight schedules convolved across empirical passenger arrival behavior. The definitive federal engineering guideline, Airport Cooperative Research Program (ACRP) Report 40 (Airport Passenger Terminal Planning and Design; Transportation Research Board [TRB], 2010), establishes that commercial passenger arrival distributions follow an empirical lognormal curve, with peak passenger arrivals concentrating between 90 and 120 minutes prior to scheduled domestic departures. However, applying raw flight schedules directly to checkpoint demand introduces severe distortion in hub airports. Guo et al. (2022) established that airside transfer passengers in hub-and-spoke networks never enter landside ticketing lobbies or pass through security screening. Therefore, an operational baseline must incorporate a connecting passenger deflator derived from Bureau of Transportation Statistics (BTS) DB1B origin-destination ticket surveys, isolating true checkpoint-originating passenger demand from airside connections. This deterministic base provides an interpretable, highly portable operational baseline that operates without complex training.</w:t>
      </w:r>
    </w:p>
    <w:p>
      <w:pPr>
        <w:spacing w:before="0" w:after="0" w:line="480" w:lineRule="auto"/>
        <w:jc w:val="left"/>
      </w:pPr>
      <w:r>
        <w:rPr>
          <w:rFonts w:ascii="Times New Roman" w:hAnsi="Times New Roman"/>
          <w:b/>
          <w:i/>
          <w:sz w:val="24"/>
        </w:rPr>
        <w:t>Transparent Residual Adjustments via Decision Trees</w:t>
      </w:r>
    </w:p>
    <w:p>
      <w:pPr>
        <w:spacing w:before="0" w:after="0" w:line="480" w:lineRule="auto"/>
        <w:ind w:firstLine="720"/>
        <w:jc w:val="left"/>
      </w:pPr>
      <w:r>
        <w:rPr>
          <w:rFonts w:ascii="Times New Roman" w:hAnsi="Times New Roman"/>
          <w:sz w:val="24"/>
        </w:rPr>
        <w:t>While scheduled operations provide a stable baseline under nominal conditions, real-world terminal volatility is driven by tactical airside disruptions: departure delays, ground delay programs, gate holds, and cancellations. Rather than discarding the structural baseline during disruptions, hybrid models deploy supervised machine learning to predict the residual error between scheduled demand and actual checkpoint throughput (Brun et al., 2025; Hopfe et al., 2024; Ribeiro et al., 2025). Utilizing Gradient-Boosted Decision Trees (GBM) for residual estimation offers a decisive operational advantage over deep neural networks: their hierarchical branching structure functions like intuitive, transparent decision rules (e.g., "If departure delay dispersion exceeds 45 minutes and cancellation rate exceeds 5%, adjust expected security volatility upward by +35%"). This decision-rule transparency enables airport controllers to verify and audit model behavior during severe weather disruptions.</w:t>
      </w:r>
    </w:p>
    <w:p>
      <w:pPr>
        <w:spacing w:before="0" w:after="0" w:line="480" w:lineRule="auto"/>
        <w:jc w:val="left"/>
      </w:pPr>
      <w:r>
        <w:rPr>
          <w:rFonts w:ascii="Times New Roman" w:hAnsi="Times New Roman"/>
          <w:b/>
          <w:i/>
          <w:sz w:val="24"/>
        </w:rPr>
        <w:t>Dynamic Feedback and Recursive State-Space Error Estimation</w:t>
      </w:r>
    </w:p>
    <w:p>
      <w:pPr>
        <w:spacing w:before="0" w:after="0" w:line="480" w:lineRule="auto"/>
        <w:ind w:firstLine="720"/>
        <w:jc w:val="left"/>
      </w:pPr>
      <w:r>
        <w:rPr>
          <w:rFonts w:ascii="Times New Roman" w:hAnsi="Times New Roman"/>
          <w:sz w:val="24"/>
        </w:rPr>
        <w:t>During catastrophic disruptions—such as severe summer convective storms where flight departure times are repeatedly rolled back—static flight schedules lose predictive validity. Under these conditions, static baseline models suffer from the "Empty Checkpoint Fallacy," predicting zero demand when flights are delayed, even as stranded passengers crowd terminal screening lobbies. To prevent forecast divergence, recent transportation literature incorporates recursive error-correction feedback grounded in Kalman filtering and state-space estimation (Anupam &amp; Lawal, 2024; Ebert et al., 2021; Wu et al., 2024). By continuously monitoring live checkpoint throughput and calculating the 1-step error innovation (e_t-1 = y_t-1 - ŷ_t-1), the model dynamically adjusts its expected passenger backlog in real time. This dynamic feedback loop bridges the gap between pre-flight scheduling and live terminal floor operations, allowing the system to absorb severe demand shocks and recover rapidly.</w:t>
      </w:r>
    </w:p>
    <w:p>
      <w:pPr>
        <w:spacing w:before="0" w:after="0" w:line="480" w:lineRule="auto"/>
        <w:jc w:val="left"/>
      </w:pPr>
      <w:r>
        <w:rPr>
          <w:rFonts w:ascii="Times New Roman" w:hAnsi="Times New Roman"/>
          <w:b/>
          <w:i/>
          <w:sz w:val="24"/>
        </w:rPr>
        <w:t>Contextualizing Heuristic and Optimization Lineages</w:t>
      </w:r>
    </w:p>
    <w:p>
      <w:pPr>
        <w:spacing w:before="0" w:after="0" w:line="480" w:lineRule="auto"/>
        <w:ind w:firstLine="720"/>
        <w:jc w:val="left"/>
      </w:pPr>
      <w:r>
        <w:rPr>
          <w:rFonts w:ascii="Times New Roman" w:hAnsi="Times New Roman"/>
          <w:sz w:val="24"/>
        </w:rPr>
        <w:t>Earlier literature in airport systems planning explored stochastic optimization and probabilistic graphical models to manage operational uncertainty. Hybrid Queue-based Bayesian Networks (HQBN; Wu et al., 2014) combined analytical queuing equations with directed acyclic graphs to diagnose bottleneck causes, while Guo et al. (2025) coupled Bayesian networks with the Best-Worst Method to evaluate terminal resilience factors. In parallel, metaheuristic optimization algorithms—such as Particle Swarm Optimization (PSO) and simulated annealing (Jiang et al., 2024; Naji et al., 2020; Sörensen, 2015; Wu, 2024)—were deployed to optimize parameter spaces in complex airport baggage and ground transit networks. While valuable for offline optimization, these metaheuristic frameworks lack the sub-second inference speeds and transparent decision rules required for tactical TSA checkpoint lane reallocation, underscoring the superior operational alignment of two-stage tree-based hybrid architectures.</w:t>
      </w:r>
    </w:p>
    <w:p>
      <w:pPr>
        <w:spacing w:before="240" w:after="0" w:line="240" w:lineRule="auto"/>
      </w:pPr>
      <w:r>
        <w:rPr>
          <w:rFonts w:ascii="Times New Roman" w:hAnsi="Times New Roman"/>
          <w:b/>
          <w:sz w:val="24"/>
        </w:rPr>
        <w:t>Table 2.1</w:t>
      </w:r>
    </w:p>
    <w:p>
      <w:pPr>
        <w:spacing w:before="0" w:after="120" w:line="240" w:lineRule="auto"/>
      </w:pPr>
      <w:r>
        <w:rPr>
          <w:rFonts w:ascii="Times New Roman" w:hAnsi="Times New Roman"/>
          <w:i/>
          <w:sz w:val="24"/>
        </w:rPr>
        <w:t>Comparative Modeling Paradigm Taxonomy for Airport Passenger Screening Throughput</w:t>
      </w:r>
    </w:p>
    <w:tbl>
      <w:tblPr>
        <w:tblW w:type="auto" w:w="0"/>
        <w:jc w:val="center"/>
        <w:tblLook w:firstColumn="1" w:firstRow="1" w:lastColumn="0" w:lastRow="0" w:noHBand="0" w:noVBand="1" w:val="04A0"/>
        <w:tblBorders>
          <w:top w:val="single" w:sz="6" w:space="0" w:color="000000"/>
          <w:left w:val="none"/>
          <w:bottom w:val="single" w:sz="6" w:space="0" w:color="000000"/>
          <w:right w:val="none"/>
          <w:insideH w:val="none"/>
          <w:insideV w:val="none"/>
        </w:tblBorders>
      </w:tblPr>
      <w:tblGrid>
        <w:gridCol w:w="1872"/>
        <w:gridCol w:w="1872"/>
        <w:gridCol w:w="1872"/>
        <w:gridCol w:w="1872"/>
        <w:gridCol w:w="1872"/>
      </w:tblGrid>
      <w:tr>
        <w:trPr/>
        <w:tc>
          <w:tcPr>
            <w:tcW w:type="dxa" w:w="1728"/>
            <w:tcBorders>
              <w:bottom w:val="single" w:sz="6" w:space="0" w:color="000000"/>
            </w:tcBorders>
          </w:tcPr>
          <w:p>
            <w:pPr>
              <w:spacing w:line="240" w:lineRule="auto" w:before="40" w:after="40"/>
            </w:pPr>
            <w:r>
              <w:rPr>
                <w:rFonts w:ascii="Times New Roman" w:hAnsi="Times New Roman"/>
                <w:b/>
                <w:sz w:val="20"/>
              </w:rPr>
              <w:t>Modeling Paradigm</w:t>
            </w:r>
          </w:p>
        </w:tc>
        <w:tc>
          <w:tcPr>
            <w:tcW w:type="dxa" w:w="1872"/>
            <w:tcBorders>
              <w:bottom w:val="single" w:sz="6" w:space="0" w:color="000000"/>
            </w:tcBorders>
          </w:tcPr>
          <w:p>
            <w:pPr>
              <w:spacing w:line="240" w:lineRule="auto" w:before="40" w:after="40"/>
            </w:pPr>
            <w:r>
              <w:rPr>
                <w:rFonts w:ascii="Times New Roman" w:hAnsi="Times New Roman"/>
                <w:b/>
                <w:sz w:val="20"/>
              </w:rPr>
              <w:t>Mathematical Foundation</w:t>
            </w:r>
          </w:p>
        </w:tc>
        <w:tc>
          <w:tcPr>
            <w:tcW w:type="dxa" w:w="1872"/>
            <w:tcBorders>
              <w:bottom w:val="single" w:sz="6" w:space="0" w:color="000000"/>
            </w:tcBorders>
          </w:tcPr>
          <w:p>
            <w:pPr>
              <w:spacing w:line="240" w:lineRule="auto" w:before="40" w:after="40"/>
            </w:pPr>
            <w:r>
              <w:rPr>
                <w:rFonts w:ascii="Times New Roman" w:hAnsi="Times New Roman"/>
                <w:b/>
                <w:sz w:val="20"/>
              </w:rPr>
              <w:t>Operational Strengths</w:t>
            </w:r>
          </w:p>
        </w:tc>
        <w:tc>
          <w:tcPr>
            <w:tcW w:type="dxa" w:w="2016"/>
            <w:tcBorders>
              <w:bottom w:val="single" w:sz="6" w:space="0" w:color="000000"/>
            </w:tcBorders>
          </w:tcPr>
          <w:p>
            <w:pPr>
              <w:spacing w:line="240" w:lineRule="auto" w:before="40" w:after="40"/>
            </w:pPr>
            <w:r>
              <w:rPr>
                <w:rFonts w:ascii="Times New Roman" w:hAnsi="Times New Roman"/>
                <w:b/>
                <w:sz w:val="20"/>
              </w:rPr>
              <w:t>Critical Operational Limitations</w:t>
            </w:r>
          </w:p>
        </w:tc>
        <w:tc>
          <w:tcPr>
            <w:tcW w:type="dxa" w:w="1872"/>
            <w:tcBorders>
              <w:bottom w:val="single" w:sz="6" w:space="0" w:color="000000"/>
            </w:tcBorders>
          </w:tcPr>
          <w:p>
            <w:pPr>
              <w:spacing w:line="240" w:lineRule="auto" w:before="40" w:after="40"/>
            </w:pPr>
            <w:r>
              <w:rPr>
                <w:rFonts w:ascii="Times New Roman" w:hAnsi="Times New Roman"/>
                <w:b/>
                <w:sz w:val="20"/>
              </w:rPr>
              <w:t>Key Citations</w:t>
            </w:r>
          </w:p>
        </w:tc>
      </w:tr>
      <w:tr>
        <w:tc>
          <w:tcPr>
            <w:tcW w:type="dxa" w:w="1728"/>
          </w:tcPr>
          <w:p>
            <w:pPr>
              <w:spacing w:line="240" w:lineRule="auto" w:before="60" w:after="60"/>
            </w:pPr>
            <w:r>
              <w:rPr>
                <w:rFonts w:ascii="Times New Roman" w:hAnsi="Times New Roman"/>
                <w:b/>
                <w:sz w:val="19"/>
              </w:rPr>
              <w:t>Classical Queuing Theory</w:t>
            </w:r>
          </w:p>
        </w:tc>
        <w:tc>
          <w:tcPr>
            <w:tcW w:type="dxa" w:w="1872"/>
          </w:tcPr>
          <w:p>
            <w:pPr>
              <w:spacing w:line="240" w:lineRule="auto" w:before="60" w:after="60"/>
            </w:pPr>
            <w:r>
              <w:rPr>
                <w:rFonts w:ascii="Times New Roman" w:hAnsi="Times New Roman"/>
                <w:sz w:val="19"/>
              </w:rPr>
              <w:t>Poisson / Exponential: M/M/s, M/G/s, NHPP</w:t>
            </w:r>
          </w:p>
        </w:tc>
        <w:tc>
          <w:tcPr>
            <w:tcW w:type="dxa" w:w="1872"/>
          </w:tcPr>
          <w:p>
            <w:pPr>
              <w:spacing w:line="240" w:lineRule="auto" w:before="60" w:after="60"/>
            </w:pPr>
            <w:r>
              <w:rPr>
                <w:rFonts w:ascii="Times New Roman" w:hAnsi="Times New Roman"/>
                <w:sz w:val="19"/>
              </w:rPr>
              <w:t>Closed-form solutions; transparent parameterization; negligible compute latency.</w:t>
            </w:r>
          </w:p>
        </w:tc>
        <w:tc>
          <w:tcPr>
            <w:tcW w:type="dxa" w:w="2016"/>
          </w:tcPr>
          <w:p>
            <w:pPr>
              <w:spacing w:line="240" w:lineRule="auto" w:before="60" w:after="60"/>
            </w:pPr>
            <w:r>
              <w:rPr>
                <w:rFonts w:ascii="Times New Roman" w:hAnsi="Times New Roman"/>
                <w:sz w:val="19"/>
              </w:rPr>
              <w:t>Fails under batch flight banks; ignores airside connecting passenger shielding; assumes static arrival rates.</w:t>
            </w:r>
          </w:p>
        </w:tc>
        <w:tc>
          <w:tcPr>
            <w:tcW w:type="dxa" w:w="1872"/>
          </w:tcPr>
          <w:p>
            <w:pPr>
              <w:spacing w:line="240" w:lineRule="auto" w:before="60" w:after="60"/>
            </w:pPr>
            <w:r>
              <w:rPr>
                <w:rFonts w:ascii="Times New Roman" w:hAnsi="Times New Roman"/>
                <w:sz w:val="19"/>
              </w:rPr>
              <w:t>Odoni (1986); Wang (2018); Brunetta et al. (1999); Guo et al. (2022).</w:t>
            </w:r>
          </w:p>
        </w:tc>
      </w:tr>
      <w:tr>
        <w:tc>
          <w:tcPr>
            <w:tcW w:type="dxa" w:w="1728"/>
          </w:tcPr>
          <w:p>
            <w:pPr>
              <w:spacing w:line="240" w:lineRule="auto" w:before="60" w:after="60"/>
            </w:pPr>
            <w:r>
              <w:rPr>
                <w:rFonts w:ascii="Times New Roman" w:hAnsi="Times New Roman"/>
                <w:b/>
                <w:sz w:val="19"/>
              </w:rPr>
              <w:t>Discrete Event Simulation (DES)</w:t>
            </w:r>
          </w:p>
        </w:tc>
        <w:tc>
          <w:tcPr>
            <w:tcW w:type="dxa" w:w="1872"/>
          </w:tcPr>
          <w:p>
            <w:pPr>
              <w:spacing w:line="240" w:lineRule="auto" w:before="60" w:after="60"/>
            </w:pPr>
            <w:r>
              <w:rPr>
                <w:rFonts w:ascii="Times New Roman" w:hAnsi="Times New Roman"/>
                <w:sz w:val="19"/>
              </w:rPr>
              <w:t>Stochastic entity tracking through discrete physical screening stages.</w:t>
            </w:r>
          </w:p>
        </w:tc>
        <w:tc>
          <w:tcPr>
            <w:tcW w:type="dxa" w:w="1872"/>
          </w:tcPr>
          <w:p>
            <w:pPr>
              <w:spacing w:line="240" w:lineRule="auto" w:before="60" w:after="60"/>
            </w:pPr>
            <w:r>
              <w:rPr>
                <w:rFonts w:ascii="Times New Roman" w:hAnsi="Times New Roman"/>
                <w:sz w:val="19"/>
              </w:rPr>
              <w:t>High micro-level spatial and lane layout fidelity; granular TSO lane configuration.</w:t>
            </w:r>
          </w:p>
        </w:tc>
        <w:tc>
          <w:tcPr>
            <w:tcW w:type="dxa" w:w="2016"/>
          </w:tcPr>
          <w:p>
            <w:pPr>
              <w:spacing w:line="240" w:lineRule="auto" w:before="60" w:after="60"/>
            </w:pPr>
            <w:r>
              <w:rPr>
                <w:rFonts w:ascii="Times New Roman" w:hAnsi="Times New Roman"/>
                <w:sz w:val="19"/>
              </w:rPr>
              <w:t>Extreme calibration sensitivity; high compute latency during disruptions; passive traveler assumptions.</w:t>
            </w:r>
          </w:p>
        </w:tc>
        <w:tc>
          <w:tcPr>
            <w:tcW w:type="dxa" w:w="1872"/>
          </w:tcPr>
          <w:p>
            <w:pPr>
              <w:spacing w:line="240" w:lineRule="auto" w:before="60" w:after="60"/>
            </w:pPr>
            <w:r>
              <w:rPr>
                <w:rFonts w:ascii="Times New Roman" w:hAnsi="Times New Roman"/>
                <w:sz w:val="19"/>
              </w:rPr>
              <w:t>Brown &amp; Madhavan (2011); Takakuwa &amp; Oyama (2004); Bießlich et al. (2014).</w:t>
            </w:r>
          </w:p>
        </w:tc>
      </w:tr>
      <w:tr>
        <w:tc>
          <w:tcPr>
            <w:tcW w:type="dxa" w:w="1728"/>
          </w:tcPr>
          <w:p>
            <w:pPr>
              <w:spacing w:line="240" w:lineRule="auto" w:before="60" w:after="60"/>
            </w:pPr>
            <w:r>
              <w:rPr>
                <w:rFonts w:ascii="Times New Roman" w:hAnsi="Times New Roman"/>
                <w:b/>
                <w:sz w:val="19"/>
              </w:rPr>
              <w:t>Linear Statistical Time-Series</w:t>
            </w:r>
          </w:p>
        </w:tc>
        <w:tc>
          <w:tcPr>
            <w:tcW w:type="dxa" w:w="1872"/>
          </w:tcPr>
          <w:p>
            <w:pPr>
              <w:spacing w:line="240" w:lineRule="auto" w:before="60" w:after="60"/>
            </w:pPr>
            <w:r>
              <w:rPr>
                <w:rFonts w:ascii="Times New Roman" w:hAnsi="Times New Roman"/>
                <w:sz w:val="19"/>
              </w:rPr>
              <w:t>Autoregressive moving average: SARIMAX(p,d,q)x(P,D,Q)s</w:t>
            </w:r>
          </w:p>
        </w:tc>
        <w:tc>
          <w:tcPr>
            <w:tcW w:type="dxa" w:w="1872"/>
          </w:tcPr>
          <w:p>
            <w:pPr>
              <w:spacing w:line="240" w:lineRule="auto" w:before="60" w:after="60"/>
            </w:pPr>
            <w:r>
              <w:rPr>
                <w:rFonts w:ascii="Times New Roman" w:hAnsi="Times New Roman"/>
                <w:sz w:val="19"/>
              </w:rPr>
              <w:t>Lightweight; captures diurnal (24h) and weekly (168h) cycles; clear confidence bounds.</w:t>
            </w:r>
          </w:p>
        </w:tc>
        <w:tc>
          <w:tcPr>
            <w:tcW w:type="dxa" w:w="2016"/>
          </w:tcPr>
          <w:p>
            <w:pPr>
              <w:spacing w:line="240" w:lineRule="auto" w:before="60" w:after="60"/>
            </w:pPr>
            <w:r>
              <w:rPr>
                <w:rFonts w:ascii="Times New Roman" w:hAnsi="Times New Roman"/>
                <w:sz w:val="19"/>
              </w:rPr>
              <w:t>Fails during structural breaks and severe weather ground stops; cannot model non-linear delays.</w:t>
            </w:r>
          </w:p>
        </w:tc>
        <w:tc>
          <w:tcPr>
            <w:tcW w:type="dxa" w:w="1872"/>
          </w:tcPr>
          <w:p>
            <w:pPr>
              <w:spacing w:line="240" w:lineRule="auto" w:before="60" w:after="60"/>
            </w:pPr>
            <w:r>
              <w:rPr>
                <w:rFonts w:ascii="Times New Roman" w:hAnsi="Times New Roman"/>
                <w:sz w:val="19"/>
              </w:rPr>
              <w:t>Li et al. (2017); Box et al. (2015); Hyndman &amp; Athanasopoulos (2018).</w:t>
            </w:r>
          </w:p>
        </w:tc>
      </w:tr>
      <w:tr>
        <w:tc>
          <w:tcPr>
            <w:tcW w:type="dxa" w:w="1728"/>
          </w:tcPr>
          <w:p>
            <w:pPr>
              <w:spacing w:line="240" w:lineRule="auto" w:before="60" w:after="60"/>
            </w:pPr>
            <w:r>
              <w:rPr>
                <w:rFonts w:ascii="Times New Roman" w:hAnsi="Times New Roman"/>
                <w:b/>
                <w:sz w:val="19"/>
              </w:rPr>
              <w:t>Supervised Machine Learning (GBM)</w:t>
            </w:r>
          </w:p>
        </w:tc>
        <w:tc>
          <w:tcPr>
            <w:tcW w:type="dxa" w:w="1872"/>
          </w:tcPr>
          <w:p>
            <w:pPr>
              <w:spacing w:line="240" w:lineRule="auto" w:before="60" w:after="60"/>
            </w:pPr>
            <w:r>
              <w:rPr>
                <w:rFonts w:ascii="Times New Roman" w:hAnsi="Times New Roman"/>
                <w:sz w:val="19"/>
              </w:rPr>
              <w:t>Non-linear decision trees: Gradient Boosting (HistGBM) minimizing Tweedie loss</w:t>
            </w:r>
          </w:p>
        </w:tc>
        <w:tc>
          <w:tcPr>
            <w:tcW w:type="dxa" w:w="1872"/>
          </w:tcPr>
          <w:p>
            <w:pPr>
              <w:spacing w:line="240" w:lineRule="auto" w:before="60" w:after="60"/>
            </w:pPr>
            <w:r>
              <w:rPr>
                <w:rFonts w:ascii="Times New Roman" w:hAnsi="Times New Roman"/>
                <w:sz w:val="19"/>
              </w:rPr>
              <w:t>Captures non-linear delays, aircraft gauge, and weather; fast inference; auditable rules.</w:t>
            </w:r>
          </w:p>
        </w:tc>
        <w:tc>
          <w:tcPr>
            <w:tcW w:type="dxa" w:w="2016"/>
          </w:tcPr>
          <w:p>
            <w:pPr>
              <w:spacing w:line="240" w:lineRule="auto" w:before="60" w:after="60"/>
            </w:pPr>
            <w:r>
              <w:rPr>
                <w:rFonts w:ascii="Times New Roman" w:hAnsi="Times New Roman"/>
                <w:sz w:val="19"/>
              </w:rPr>
              <w:t>Susceptible to "Empty Checkpoint Fallacy" during flight delays; overfits to local terminal geometry.</w:t>
            </w:r>
          </w:p>
        </w:tc>
        <w:tc>
          <w:tcPr>
            <w:tcW w:type="dxa" w:w="1872"/>
          </w:tcPr>
          <w:p>
            <w:pPr>
              <w:spacing w:line="240" w:lineRule="auto" w:before="60" w:after="60"/>
            </w:pPr>
            <w:r>
              <w:rPr>
                <w:rFonts w:ascii="Times New Roman" w:hAnsi="Times New Roman"/>
                <w:sz w:val="19"/>
              </w:rPr>
              <w:t>Hopfe et al. (2024); Ribeiro et al. (2025); Chen &amp; Guestrin (2016).</w:t>
            </w:r>
          </w:p>
        </w:tc>
      </w:tr>
      <w:tr>
        <w:tc>
          <w:tcPr>
            <w:tcW w:type="dxa" w:w="1728"/>
          </w:tcPr>
          <w:p>
            <w:pPr>
              <w:spacing w:line="240" w:lineRule="auto" w:before="60" w:after="60"/>
            </w:pPr>
            <w:r>
              <w:rPr>
                <w:rFonts w:ascii="Times New Roman" w:hAnsi="Times New Roman"/>
                <w:b/>
                <w:sz w:val="19"/>
              </w:rPr>
              <w:t>Deep Neural Networks (LSTM / GRU)</w:t>
            </w:r>
          </w:p>
        </w:tc>
        <w:tc>
          <w:tcPr>
            <w:tcW w:type="dxa" w:w="1872"/>
          </w:tcPr>
          <w:p>
            <w:pPr>
              <w:spacing w:line="240" w:lineRule="auto" w:before="60" w:after="60"/>
            </w:pPr>
            <w:r>
              <w:rPr>
                <w:rFonts w:ascii="Times New Roman" w:hAnsi="Times New Roman"/>
                <w:sz w:val="19"/>
              </w:rPr>
              <w:t>Recurrent hidden state: Gated recurrent units h_t = σ(Whh·h_t-1 + Wxh·x_t + b)</w:t>
            </w:r>
          </w:p>
        </w:tc>
        <w:tc>
          <w:tcPr>
            <w:tcW w:type="dxa" w:w="1872"/>
          </w:tcPr>
          <w:p>
            <w:pPr>
              <w:spacing w:line="240" w:lineRule="auto" w:before="60" w:after="60"/>
            </w:pPr>
            <w:r>
              <w:rPr>
                <w:rFonts w:ascii="Times New Roman" w:hAnsi="Times New Roman"/>
                <w:sz w:val="19"/>
              </w:rPr>
              <w:t>Directly models complex long-sequence dependencies without manual feature engineering.</w:t>
            </w:r>
          </w:p>
        </w:tc>
        <w:tc>
          <w:tcPr>
            <w:tcW w:type="dxa" w:w="2016"/>
          </w:tcPr>
          <w:p>
            <w:pPr>
              <w:spacing w:line="240" w:lineRule="auto" w:before="60" w:after="60"/>
            </w:pPr>
            <w:r>
              <w:rPr>
                <w:rFonts w:ascii="Times New Roman" w:hAnsi="Times New Roman"/>
                <w:sz w:val="19"/>
              </w:rPr>
              <w:t>Complete "black-box" opacity; FSD adoption resistance; severe spatial transfer degradation (&gt;40% error).</w:t>
            </w:r>
          </w:p>
        </w:tc>
        <w:tc>
          <w:tcPr>
            <w:tcW w:type="dxa" w:w="1872"/>
          </w:tcPr>
          <w:p>
            <w:pPr>
              <w:spacing w:line="240" w:lineRule="auto" w:before="60" w:after="60"/>
            </w:pPr>
            <w:r>
              <w:rPr>
                <w:rFonts w:ascii="Times New Roman" w:hAnsi="Times New Roman"/>
                <w:sz w:val="19"/>
              </w:rPr>
              <w:t>Hochreiter &amp; Schmidhuber (1997); Adadi &amp; Berrada (2018); Viaña et al. (2024); Wang et al. (2025).</w:t>
            </w:r>
          </w:p>
        </w:tc>
      </w:tr>
      <w:tr>
        <w:tc>
          <w:tcPr>
            <w:tcW w:type="dxa" w:w="1728"/>
          </w:tcPr>
          <w:p>
            <w:pPr>
              <w:spacing w:line="240" w:lineRule="auto" w:before="60" w:after="60"/>
            </w:pPr>
            <w:r>
              <w:rPr>
                <w:rFonts w:ascii="Times New Roman" w:hAnsi="Times New Roman"/>
                <w:b/>
                <w:sz w:val="19"/>
              </w:rPr>
              <w:t>Sequential Two-Stage State-Space Hybrids</w:t>
            </w:r>
          </w:p>
        </w:tc>
        <w:tc>
          <w:tcPr>
            <w:tcW w:type="dxa" w:w="1872"/>
          </w:tcPr>
          <w:p>
            <w:pPr>
              <w:spacing w:line="240" w:lineRule="auto" w:before="60" w:after="60"/>
            </w:pPr>
            <w:r>
              <w:rPr>
                <w:rFonts w:ascii="Times New Roman" w:hAnsi="Times New Roman"/>
                <w:sz w:val="19"/>
              </w:rPr>
              <w:t>Stage 1 Physical Schedule + Stage 2 Tree Residual + Kalman Innovation Feedback</w:t>
            </w:r>
          </w:p>
        </w:tc>
        <w:tc>
          <w:tcPr>
            <w:tcW w:type="dxa" w:w="1872"/>
          </w:tcPr>
          <w:p>
            <w:pPr>
              <w:spacing w:line="240" w:lineRule="auto" w:before="60" w:after="60"/>
            </w:pPr>
            <w:r>
              <w:rPr>
                <w:rFonts w:ascii="Times New Roman" w:hAnsi="Times New Roman"/>
                <w:sz w:val="19"/>
              </w:rPr>
              <w:t>Superior routine accuracy; high disruption resilience (R_MASE); high cross-airport portability.</w:t>
            </w:r>
          </w:p>
        </w:tc>
        <w:tc>
          <w:tcPr>
            <w:tcW w:type="dxa" w:w="2016"/>
          </w:tcPr>
          <w:p>
            <w:pPr>
              <w:spacing w:line="240" w:lineRule="auto" w:before="60" w:after="60"/>
            </w:pPr>
            <w:r>
              <w:rPr>
                <w:rFonts w:ascii="Times New Roman" w:hAnsi="Times New Roman"/>
                <w:sz w:val="19"/>
              </w:rPr>
              <w:t>Multi-stage training complexity; requires automated ingestion of live prior-hour floor throughput (y_t-1).</w:t>
            </w:r>
          </w:p>
        </w:tc>
        <w:tc>
          <w:tcPr>
            <w:tcW w:type="dxa" w:w="1872"/>
          </w:tcPr>
          <w:p>
            <w:pPr>
              <w:spacing w:line="240" w:lineRule="auto" w:before="60" w:after="60"/>
            </w:pPr>
            <w:r>
              <w:rPr>
                <w:rFonts w:ascii="Times New Roman" w:hAnsi="Times New Roman"/>
                <w:sz w:val="19"/>
              </w:rPr>
              <w:t>Brun et al. (2025); Had et al. (2025); Ebert et al. (2021); Wu et al. (2024).</w:t>
            </w:r>
          </w:p>
        </w:tc>
      </w:tr>
    </w:tbl>
    <w:p>
      <w:pPr>
        <w:spacing w:before="80" w:after="240" w:line="240" w:lineRule="auto"/>
      </w:pPr>
      <w:r>
        <w:rPr>
          <w:rFonts w:ascii="Times New Roman" w:hAnsi="Times New Roman"/>
          <w:i/>
          <w:sz w:val="20"/>
        </w:rPr>
        <w:t xml:space="preserve">Note. </w:t>
      </w:r>
      <w:r>
        <w:rPr>
          <w:rFonts w:ascii="Times New Roman" w:hAnsi="Times New Roman"/>
          <w:sz w:val="20"/>
        </w:rPr>
        <w:t>Table synthesized from thesis literature review. Taxonomy formalizes the theoretical trade-offs across candidate modeling paradigms evaluated in Chapter IV.</w:t>
      </w:r>
    </w:p>
    <w:p>
      <w:pPr>
        <w:spacing w:before="0" w:after="0" w:line="480" w:lineRule="auto"/>
        <w:jc w:val="left"/>
      </w:pPr>
      <w:r>
        <w:rPr>
          <w:rFonts w:ascii="Times New Roman" w:hAnsi="Times New Roman"/>
          <w:b/>
          <w:sz w:val="24"/>
        </w:rPr>
        <w:t>Post-Pandemic Operational Volatility and the Triad of Operational Evaluation</w:t>
      </w:r>
    </w:p>
    <w:p>
      <w:pPr>
        <w:spacing w:before="0" w:after="0" w:line="480" w:lineRule="auto"/>
        <w:jc w:val="left"/>
      </w:pPr>
      <w:r>
        <w:rPr>
          <w:rFonts w:ascii="Times New Roman" w:hAnsi="Times New Roman"/>
          <w:b/>
          <w:i/>
          <w:sz w:val="24"/>
        </w:rPr>
        <w:t>The COVID-19 Catalyst and the Breakdown of Single-Metric Benchmarks</w:t>
      </w:r>
    </w:p>
    <w:p>
      <w:pPr>
        <w:spacing w:before="0" w:after="0" w:line="480" w:lineRule="auto"/>
        <w:ind w:firstLine="720"/>
        <w:jc w:val="left"/>
      </w:pPr>
      <w:r>
        <w:rPr>
          <w:rFonts w:ascii="Times New Roman" w:hAnsi="Times New Roman"/>
          <w:sz w:val="24"/>
        </w:rPr>
        <w:t>While predictive modeling literature historically evaluated forecasting algorithms solely by minimizing point error (such as Root Mean Squared Error [RMSE] or Mean Absolute Error [MAE]) under quiescent conditions, the unprecedented operational shocks of the COVID-19 pandemic revealed that single-metric evaluations are fundamentally inadequate for aviation infrastructure (Li et al., 2023; Sun et al., 2022). The pandemic imposed abrupt, systemic structural breaks on terminal operations: airlines slashed capacity, flight schedules were radically restructured, and terminals witnessed the emergence of decentralized queue structures, physical distancing barriers, and volatile passenger processing times (Mota et al., 2021). As highly tuned historical models collapsed amidst these procedural shifts, it became evident that evaluating a forecasting tool solely on its clear-weather, nominal accuracy fails to capture its true operational viability during real-world disruptions (Li et al., 2023). In volatile modern aviation environments, predictive models must be evaluated across three distinct, complementary operational dimensions:</w:t>
      </w:r>
    </w:p>
    <w:p>
      <w:pPr>
        <w:spacing w:before="0" w:after="0" w:line="480" w:lineRule="auto"/>
        <w:jc w:val="left"/>
      </w:pPr>
      <w:r>
        <w:rPr>
          <w:rFonts w:ascii="Times New Roman" w:hAnsi="Times New Roman"/>
          <w:b/>
          <w:i/>
          <w:sz w:val="24"/>
        </w:rPr>
        <w:t>Dimension 1: Robustness (Routine Operational Accuracy)</w:t>
      </w:r>
    </w:p>
    <w:p>
      <w:pPr>
        <w:spacing w:before="0" w:after="0" w:line="480" w:lineRule="auto"/>
        <w:ind w:firstLine="720"/>
        <w:jc w:val="left"/>
      </w:pPr>
      <w:r>
        <w:rPr>
          <w:rFonts w:ascii="Times New Roman" w:hAnsi="Times New Roman"/>
          <w:sz w:val="24"/>
        </w:rPr>
        <w:t>Grounded in the operational frameworks of Lin (2022), robustness reflects the consistency, precision, and low dispersion of forecast errors under nominal, on-time operating conditions (the FAA A14 reference benchmark: departure delays &lt; 15 minutes and cancellations = 0). A robust operational model must reliably minimize baseline RMSE without exhibiting high residual variance or excessive computational overhead during everyday hub operations.</w:t>
      </w:r>
    </w:p>
    <w:p>
      <w:pPr>
        <w:spacing w:before="0" w:after="0" w:line="480" w:lineRule="auto"/>
        <w:jc w:val="left"/>
      </w:pPr>
      <w:r>
        <w:rPr>
          <w:rFonts w:ascii="Times New Roman" w:hAnsi="Times New Roman"/>
          <w:b/>
          <w:i/>
          <w:sz w:val="24"/>
        </w:rPr>
        <w:t>Dimension 2: Resilience (Performance Under Severe Disruption)</w:t>
      </w:r>
    </w:p>
    <w:p>
      <w:pPr>
        <w:spacing w:before="0" w:after="0" w:line="480" w:lineRule="auto"/>
        <w:ind w:firstLine="720"/>
        <w:jc w:val="left"/>
      </w:pPr>
      <w:r>
        <w:rPr>
          <w:rFonts w:ascii="Times New Roman" w:hAnsi="Times New Roman"/>
          <w:sz w:val="24"/>
        </w:rPr>
        <w:t>Formalized by Schultz et al. (2021) and Kazda et al. (2022), resilience evaluates a model's stability and recovery trajectory during severe Irregular Operations (IROPS), such as FAA Ground Delay Programs (GDP; traffic initiatives holding departures at origin gates during destination bottlenecks), severe winter blizzards, and summer convective thunderstorm ground stops (departure delays ≥ 45 minutes or cancellations ≥ 5). Resilient models resist demand collapse, avoid the "Empty Checkpoint Fallacy," maintain error boundedness (R_MASE ≈ 1.00), and demonstrate a rapid Time-to-Recovery (TTR ≤ 4 hours) following acute operational shocks.</w:t>
      </w:r>
    </w:p>
    <w:p>
      <w:pPr>
        <w:spacing w:before="0" w:after="0" w:line="480" w:lineRule="auto"/>
        <w:jc w:val="left"/>
      </w:pPr>
      <w:r>
        <w:rPr>
          <w:rFonts w:ascii="Times New Roman" w:hAnsi="Times New Roman"/>
          <w:b/>
          <w:i/>
          <w:sz w:val="24"/>
        </w:rPr>
        <w:t>Dimension 3: Generalizability (Cross-Airport Zero-Shot Portability)</w:t>
      </w:r>
    </w:p>
    <w:p>
      <w:pPr>
        <w:spacing w:before="0" w:after="0" w:line="480" w:lineRule="auto"/>
        <w:ind w:firstLine="720"/>
        <w:jc w:val="left"/>
      </w:pPr>
      <w:r>
        <w:rPr>
          <w:rFonts w:ascii="Times New Roman" w:hAnsi="Times New Roman"/>
          <w:sz w:val="24"/>
        </w:rPr>
        <w:t>Drawing upon the infrastructure transferability principles of Tang et al. (2023) and Güner &amp; Seçkin Codal (2024), generalizability measures the external validity and portability of a model when deployed across structurally diverse airport terminal facilities without requiring site-specific historical recalibration. A generalizable architecture achieves a Relative Transfer Ratio (RTR ≈ 1.00) and minimizes transfer error degradation (ΔMASE ≤ 10%), preventing the costly facility over-fitting typical of complex machine learning systems.</w:t>
      </w:r>
    </w:p>
    <w:p>
      <w:pPr>
        <w:spacing w:before="0" w:after="0" w:line="480" w:lineRule="auto"/>
        <w:jc w:val="left"/>
      </w:pPr>
      <w:r>
        <w:rPr>
          <w:rFonts w:ascii="Times New Roman" w:hAnsi="Times New Roman"/>
          <w:b/>
          <w:i/>
          <w:sz w:val="24"/>
        </w:rPr>
        <w:t>Theoretical Synthesis, Asymmetric Trade-Offs, and Chapter III Handoff</w:t>
      </w:r>
    </w:p>
    <w:p>
      <w:pPr>
        <w:spacing w:before="0" w:after="0" w:line="480" w:lineRule="auto"/>
        <w:ind w:firstLine="720"/>
        <w:jc w:val="left"/>
      </w:pPr>
      <w:r>
        <w:rPr>
          <w:rFonts w:ascii="Times New Roman" w:hAnsi="Times New Roman"/>
          <w:sz w:val="24"/>
        </w:rPr>
        <w:t>Crucially, this three-dimensional evaluation framework reveals inherent operational trade-offs (H1): no single forecasting paradigm universally dominates all three operational dimensions (Hopfe et al., 2024). A model engineered to maximize routine accuracy (Robustness) may collapse during severe weather shocks (Resilience), while a complex architecture tuned to absorb disruption may overfit to local terminal geometry and fail zero-shot spatial deployment (Generalizability). By formalizing these three pillars, this research establishes an objective, domain-grounded evaluation methodology that bridges the gap between theoretical data science and defensible TSA security checkpoint management, providing the direct theoretical handoff to the 4-tier filtering pipeline, the 3-model candidate evaluation suite, and the empirical benchmarks in Chapters III, IV, and V.</w:t>
      </w:r>
    </w:p>
    <w:sectPr w:rsidR="00FC693F" w:rsidRPr="0006063C" w:rsidSect="00034616">
      <w:pgSz w:w="12240" w:h="15840"/>
      <w:pgMar w:top="1440" w:right="1440" w:bottom="1440" w:left="1440" w:header="720" w:footer="720" w:gutter="0"/>
      <w:cols w:space="720"/>
      <w:docGrid w:linePitch="360"/>
    </w:sectPr>
    <w:p w14:paraId="52C87337" w14:textId="77777777" w:rsidR="004F6E50" w:rsidRPr="00B6050E" w:rsidRDefault="004F6E50" w:rsidP="004F6E50">
      <w:pPr>
        <w:spacing w:after="0" w:line="480" w:lineRule="auto"/>
        <w:contextualSpacing/>
        <w:rPr>
          <w:rFonts w:ascii="Times New Roman" w:eastAsia="Times New Roman" w:hAnsi="Times New Roman" w:cs="Times New Roman"/>
          <w:color w:val="000000"/>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s+1</m:t>
                              </m:r>
                            </m:e>
                          </m:d>
                        </m:e>
                      </m:rad>
                      <m:r>
                        <w:rPr>
                          <w:rFonts w:ascii="Cambria Math" w:eastAsia="Times New Roman" w:hAnsi="Cambria Math" w:cs="Times New Roman"/>
                          <w:kern w:val="0"/>
                          <w14:ligatures w14:val="none"/>
                        </w:rPr>
                        <m:t>-1</m:t>
                      </m:r>
                    </m:sup>
                  </m:sSup>
                </m:num>
                <m:den>
                  <m:r>
                    <w:rPr>
                      <w:rFonts w:ascii="Cambria Math" w:eastAsia="Times New Roman" w:hAnsi="Cambria Math" w:cs="Times New Roman"/>
                      <w:kern w:val="0"/>
                      <w14:ligatures w14:val="none"/>
                    </w:rPr>
                    <m:t>s</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1-ρ</m:t>
                      </m:r>
                    </m:e>
                  </m:d>
                </m:den>
              </m:f>
            </m:e>
          </m:d>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2</m:t>
                      </m:r>
                    </m:sup>
                  </m:sSubSup>
                </m:num>
                <m:den>
                  <m:r>
                    <w:rPr>
                      <w:rFonts w:ascii="Cambria Math" w:eastAsia="Times New Roman" w:hAnsi="Cambria Math" w:cs="Times New Roman"/>
                      <w:kern w:val="0"/>
                      <w14:ligatures w14:val="none"/>
                    </w:rPr>
                    <m:t>2</m:t>
                  </m:r>
                </m:den>
              </m:f>
            </m:e>
          </m:d>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μ</m:t>
              </m:r>
            </m:den>
          </m:f>
          <m:r>
            <w:rPr>
              <w:rFonts w:ascii="Times New Roman" w:eastAsia="Times New Roman" w:hAnsi="Times New Roman" w:cs="Times New Roman"/>
              <w:kern w:val="0"/>
              <w14:ligatures w14:val="none"/>
            </w:rPr>
            <w:br/>
          </m:r>
        </m:oMath>
      </m:oMathPara>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