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E0867" w14:textId="3AA60C1A" w:rsidR="00295729" w:rsidRPr="009200DB" w:rsidRDefault="006068C0" w:rsidP="009200DB">
      <w:pPr>
        <w:spacing w:after="0" w:line="480" w:lineRule="auto"/>
        <w:contextualSpacing/>
        <w:rPr>
          <w:rFonts w:ascii="Times New Roman" w:hAnsi="Times New Roman" w:cs="Times New Roman"/>
        </w:rPr>
      </w:pPr>
      <w:r w:rsidRPr="009200DB">
        <w:rPr>
          <w:rFonts w:ascii="Times New Roman" w:hAnsi="Times New Roman" w:cs="Times New Roman"/>
        </w:rPr>
        <w:t>Hypothesis</w:t>
      </w:r>
    </w:p>
    <w:p w14:paraId="1FA291E7" w14:textId="77777777" w:rsidR="00437BF1" w:rsidRDefault="006068C0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1: Robustness</w:t>
      </w:r>
    </w:p>
    <w:p w14:paraId="67D754D9" w14:textId="452E6341" w:rsidR="006068C0" w:rsidRPr="009200DB" w:rsidRDefault="006068C0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(Routine Operations Target:</w:t>
      </w:r>
      <w:r w:rsidR="004623A7"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Lowest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700</m:t>
        </m:r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4ADF04C3" w14:textId="77777777" w:rsidR="006068C0" w:rsidRPr="00437BF1" w:rsidRDefault="006068C0" w:rsidP="00437BF1">
      <w:pPr>
        <w:pStyle w:val="ListParagraph"/>
        <w:numPr>
          <w:ilvl w:val="0"/>
          <w:numId w:val="5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37BF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Hypothesis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A</m:t>
            </m:r>
          </m:sub>
        </m:sSub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Under nominal operating conditions (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DepDelay</m:t>
        </m:r>
        <w:proofErr w:type="spellEnd"/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&lt;15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 min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zero cancellations), the Supervised Machine Learning Model (Model 2) and the Dynamic Two-Stage Hybrid Model (Model 3) will successfully achieve the robustness target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&lt;0.700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by capturing non-linear passenger show-up and flight timing interactions, whereas the Naive Baseline Control and Deterministic Flight Schedule Model (Model 1) will fail the robustness threshold (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MASE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≥0.94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 Machine learning (Model 2) will deliver a computationally lightweight, Pareto-efficient routine solution with zero feedback compute latency.</w:t>
      </w:r>
    </w:p>
    <w:p w14:paraId="3F514792" w14:textId="77777777" w:rsidR="00437BF1" w:rsidRDefault="006068C0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2: Resilience</w:t>
      </w:r>
    </w:p>
    <w:p w14:paraId="363A1728" w14:textId="77777777" w:rsidR="00437BF1" w:rsidRDefault="006068C0" w:rsidP="00437BF1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(Severe Disruption Target: Recovery Multiplier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00</m:t>
        </m:r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, Lowest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shock</m:t>
            </m:r>
          </m:sub>
        </m:sSub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, and 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TTR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4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 hours</m:t>
        </m:r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25A7B62D" w14:textId="1441AA97" w:rsidR="006068C0" w:rsidRPr="00437BF1" w:rsidRDefault="006068C0" w:rsidP="00437BF1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37BF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Hypothesis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B</m:t>
            </m:r>
          </m:sub>
        </m:sSub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Under severe operational disruptions (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DepDelay</m:t>
        </m:r>
        <w:proofErr w:type="spellEnd"/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≥45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 min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or cancellations 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≥5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), the Dynamic Two-Stage Hybrid Model (Model 3) will be the sole architecture to satisfy the resilience target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≈1.00,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≈1.00,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TTR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&lt;4.0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 h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due to live 1-step error innovation feedback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t-1</m:t>
            </m:r>
          </m:sub>
        </m:sSub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 Pure machine learning (Model 2) will suffer severe performance degradation (</w:t>
      </w:r>
      <m:oMath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R≥2.0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due to the Empty Checkpoint Fallacy (failing to recognize stranded passenger crowds waiting in the concourse), while deterministic schedules (Model 1) will remain blind to downstream delay cascades.</w:t>
      </w:r>
    </w:p>
    <w:p w14:paraId="386C7E36" w14:textId="77777777" w:rsidR="00437BF1" w:rsidRDefault="006068C0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3: Generalizability</w:t>
      </w:r>
    </w:p>
    <w:p w14:paraId="2E049538" w14:textId="506471BF" w:rsidR="006068C0" w:rsidRPr="009200DB" w:rsidRDefault="006068C0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(Zero-Shot Spatial Transfer Target: Relative Transfer Ratio 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RTR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00</m:t>
        </m:r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 and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transfer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≤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%</m:t>
        </m:r>
      </m:oMath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</w:t>
      </w:r>
    </w:p>
    <w:p w14:paraId="00DD5A04" w14:textId="77777777" w:rsidR="006068C0" w:rsidRPr="00437BF1" w:rsidRDefault="006068C0" w:rsidP="00437BF1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437BF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Hypothesis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C</m:t>
            </m:r>
          </m:sub>
        </m:sSub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Under zero-shot cross-airport transfer without local retraining (e.g., deploying from Newark to LaGuardia), the Deterministic Flight Schedule Model (Model 1) will decisively satisfy the generalizability target (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RTR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≈1.00,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Δ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MASE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≤10.0%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because published flight schedule convolution is strictly invariant to local terminal layout. Conversely, the Dynamic Hybrid (Model 3) will decisively fail the generalizability target (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RTR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≫1.00,</m:t>
        </m:r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Δ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MASE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&gt;10.0%</m:t>
        </m:r>
      </m:oMath>
      <w:r w:rsidRPr="00437BF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due to decision tree terminal geometry overfitting (memorization of specific carrier bank timings and gate configurations at the training airport).</w:t>
      </w:r>
    </w:p>
    <w:p w14:paraId="0521416B" w14:textId="77777777" w:rsidR="006068C0" w:rsidRPr="009200DB" w:rsidRDefault="006068C0" w:rsidP="009200DB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219427F8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hAnsi="Times New Roman" w:cs="Times New Roman"/>
        </w:rPr>
      </w:pPr>
    </w:p>
    <w:p w14:paraId="39EC5D8F" w14:textId="50CE8934" w:rsidR="00B54DB7" w:rsidRPr="000C155C" w:rsidRDefault="00B54DB7" w:rsidP="009200DB">
      <w:pPr>
        <w:spacing w:after="0" w:line="480" w:lineRule="auto"/>
        <w:contextualSpacing/>
        <w:rPr>
          <w:rFonts w:ascii="Times New Roman" w:hAnsi="Times New Roman" w:cs="Times New Roman"/>
          <w:sz w:val="44"/>
          <w:szCs w:val="44"/>
        </w:rPr>
      </w:pPr>
      <w:r w:rsidRPr="000C155C">
        <w:rPr>
          <w:rFonts w:ascii="Times New Roman" w:hAnsi="Times New Roman" w:cs="Times New Roman"/>
          <w:sz w:val="44"/>
          <w:szCs w:val="44"/>
        </w:rPr>
        <w:t>Performance measures</w:t>
      </w:r>
    </w:p>
    <w:p w14:paraId="0BF7C170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Performance is evaluated across three dimensions:</w:t>
      </w:r>
    </w:p>
    <w:p w14:paraId="3AC49C29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1: Robustness (Nominal &amp; Routine Operations)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Verifying that a model delivers dependable, low-error volatility forecasts during standard daily flight banks. Governing metrics: Root Mean Squared Error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and Mean Absolute Scaled Error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 Explicit target: </w:t>
      </w:r>
      <m:oMath>
        <m:func>
          <m:func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min</m:t>
            </m: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 w:themeColor="text1"/>
                    <w:kern w:val="0"/>
                    <w14:ligatures w14:val="none"/>
                  </w:rPr>
                  <m:t>RMSE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 w:themeColor="text1"/>
                    <w:kern w:val="0"/>
                    <w14:ligatures w14:val="none"/>
                  </w:rPr>
                  <m:t>routine</m:t>
                </m:r>
              </m:sub>
            </m:sSub>
          </m:e>
        </m:func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routine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700</m:t>
        </m:r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23A7ACC2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2: Resilience (Severe Disruption Recovery)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Verifying that a model resists demand collapse and recovers rapidly during severe storm ground stops and irregular operations. Governing metrics: Disruption Error Multipliers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), Disruption Error 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shock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), and Time-to-Recovery (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TTR</m:t>
        </m:r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 Explicit target: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 w:themeColor="text1"/>
                    <w:kern w:val="0"/>
                    <w14:ligatures w14:val="none"/>
                  </w:rPr>
                  <m:t>MASE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≈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00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,</m:t>
        </m:r>
        <m:func>
          <m:func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min</m:t>
            </m:r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 w:themeColor="text1"/>
                    <w:kern w:val="0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 w:themeColor="text1"/>
                    <w:kern w:val="0"/>
                    <w14:ligatures w14:val="none"/>
                  </w:rPr>
                  <m:t>MASE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color w:val="000000" w:themeColor="text1"/>
                    <w:kern w:val="0"/>
                    <w14:ligatures w14:val="none"/>
                  </w:rPr>
                  <m:t>shock</m:t>
                </m:r>
              </m:sub>
            </m:sSub>
          </m:e>
        </m:func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and 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TTR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&lt;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4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 hours</m:t>
        </m:r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729B5C79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Dimension 3: Generalizability (Cross-Airport Transferability)</w:t>
      </w:r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: Verifying whether a model calibrated at one airport (e.g., Newark Liberty, EWR) can be deployed directly to a different airport with distinct gate layouts (e.g., New York LaGuardia, LGA) without site-specific retraining. Governing metrics: Relative Transfer Ratio (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RTR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transfer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RMSE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in-sample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 and Percentage Change in Transfer MASE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transfer</m:t>
            </m:r>
          </m:sub>
        </m:sSub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). Explicit target: </w:t>
      </w:r>
      <m:oMath>
        <m:r>
          <m:rPr>
            <m:nor/>
          </m:rPr>
          <w:rPr>
            <w:rFonts w:ascii="Times New Roman" w:eastAsia="Times New Roman" w:hAnsi="Times New Roman" w:cs="Times New Roman"/>
            <w:color w:val="000000" w:themeColor="text1"/>
            <w:kern w:val="0"/>
            <w14:ligatures w14:val="none"/>
          </w:rPr>
          <m:t>RTR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≈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1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00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±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0</m:t>
            </m:r>
            <m: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.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  <m:t>05</m:t>
            </m:r>
          </m:e>
        </m:d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color w:val="000000" w:themeColor="text1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MASE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m:t>transfer</m:t>
            </m:r>
          </m:sub>
        </m:sSub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≤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10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.</m:t>
        </m:r>
        <m:r>
          <m:rPr>
            <m:sty m:val="bi"/>
          </m:rP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0</m:t>
        </m:r>
        <m:r>
          <w:rPr>
            <w:rFonts w:ascii="Cambria Math" w:eastAsia="Times New Roman" w:hAnsi="Cambria Math" w:cs="Times New Roman"/>
            <w:color w:val="000000" w:themeColor="text1"/>
            <w:kern w:val="0"/>
            <w14:ligatures w14:val="none"/>
          </w:rPr>
          <m:t>%</m:t>
        </m:r>
      </m:oMath>
      <w:r w:rsidRPr="009200DB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73DC3D60" w14:textId="77777777" w:rsidR="00D84C52" w:rsidRPr="009200DB" w:rsidRDefault="00D84C52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9E2FED8" w14:textId="77777777" w:rsidR="00D84C52" w:rsidRPr="009200DB" w:rsidRDefault="00D84C52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5B396A3F" w14:textId="77777777" w:rsidR="00D84C52" w:rsidRPr="009200DB" w:rsidRDefault="00D84C52" w:rsidP="009200DB">
      <w:pPr>
        <w:pStyle w:val="Heading2"/>
        <w:spacing w:before="0" w:after="0" w:line="480" w:lineRule="auto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42174128"/>
      <w:bookmarkStart w:id="1" w:name="_Toc242174780"/>
      <w:r w:rsidRPr="009200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Research Question</w:t>
      </w:r>
      <w:bookmarkEnd w:id="0"/>
      <w:bookmarkEnd w:id="1"/>
    </w:p>
    <w:p w14:paraId="44ADD053" w14:textId="77777777" w:rsidR="00D84C52" w:rsidRPr="009200DB" w:rsidRDefault="00D84C52" w:rsidP="009200DB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9200DB">
        <w:rPr>
          <w:rFonts w:ascii="Times New Roman" w:hAnsi="Times New Roman" w:cs="Times New Roman"/>
          <w:color w:val="000000" w:themeColor="text1"/>
        </w:rPr>
        <w:t>Which predictive modeling frameworks – spanning deterministic persistence controls, deterministic schedule baselines, machine learning, and sequential two-stage hybrids – are most effective for forecasting airport passenger security screening throughput volatility 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σ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TSA</m:t>
            </m:r>
          </m:sub>
        </m:sSub>
      </m:oMath>
      <w:r w:rsidRPr="009200DB">
        <w:rPr>
          <w:rFonts w:ascii="Times New Roman" w:hAnsi="Times New Roman" w:cs="Times New Roman"/>
          <w:color w:val="000000" w:themeColor="text1"/>
        </w:rPr>
        <w:t> and 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V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>TSA</m:t>
            </m:r>
          </m:sub>
        </m:sSub>
      </m:oMath>
      <w:r w:rsidRPr="009200DB">
        <w:rPr>
          <w:rFonts w:ascii="Times New Roman" w:hAnsi="Times New Roman" w:cs="Times New Roman"/>
          <w:color w:val="000000" w:themeColor="text1"/>
        </w:rPr>
        <w:t>) when prioritizing </w:t>
      </w:r>
      <w:r w:rsidRPr="009200DB">
        <w:rPr>
          <w:rFonts w:ascii="Times New Roman" w:hAnsi="Times New Roman" w:cs="Times New Roman"/>
          <w:b/>
          <w:bCs/>
          <w:color w:val="000000" w:themeColor="text1"/>
        </w:rPr>
        <w:t>robustness</w:t>
      </w:r>
      <w:r w:rsidRPr="009200DB">
        <w:rPr>
          <w:rFonts w:ascii="Times New Roman" w:hAnsi="Times New Roman" w:cs="Times New Roman"/>
          <w:color w:val="000000" w:themeColor="text1"/>
        </w:rPr>
        <w:t> (routine operational accuracy), </w:t>
      </w:r>
      <w:r w:rsidRPr="009200DB">
        <w:rPr>
          <w:rFonts w:ascii="Times New Roman" w:hAnsi="Times New Roman" w:cs="Times New Roman"/>
          <w:b/>
          <w:bCs/>
          <w:color w:val="000000" w:themeColor="text1"/>
        </w:rPr>
        <w:t>resilience</w:t>
      </w:r>
      <w:r w:rsidRPr="009200DB">
        <w:rPr>
          <w:rFonts w:ascii="Times New Roman" w:hAnsi="Times New Roman" w:cs="Times New Roman"/>
          <w:color w:val="000000" w:themeColor="text1"/>
        </w:rPr>
        <w:t> (stability under convective weather and delay disruptions), or </w:t>
      </w:r>
      <w:r w:rsidRPr="009200DB">
        <w:rPr>
          <w:rFonts w:ascii="Times New Roman" w:hAnsi="Times New Roman" w:cs="Times New Roman"/>
          <w:b/>
          <w:bCs/>
          <w:color w:val="000000" w:themeColor="text1"/>
        </w:rPr>
        <w:t>generalizability</w:t>
      </w:r>
      <w:r w:rsidRPr="009200DB">
        <w:rPr>
          <w:rFonts w:ascii="Times New Roman" w:hAnsi="Times New Roman" w:cs="Times New Roman"/>
          <w:color w:val="000000" w:themeColor="text1"/>
        </w:rPr>
        <w:t> (cross-airport portability across terminal layouts) as the primary operational evaluation metric?</w:t>
      </w:r>
    </w:p>
    <w:p w14:paraId="5B1DC708" w14:textId="77777777" w:rsidR="00D84C52" w:rsidRPr="009200DB" w:rsidRDefault="00D84C52" w:rsidP="009200DB">
      <w:pPr>
        <w:spacing w:after="0" w:line="48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9200DB">
        <w:rPr>
          <w:rFonts w:ascii="Times New Roman" w:hAnsi="Times New Roman" w:cs="Times New Roman"/>
          <w:b/>
          <w:bCs/>
          <w:color w:val="000000" w:themeColor="text1"/>
        </w:rPr>
        <w:t xml:space="preserve">The Asymmetric Trade-Off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sub>
        </m:sSub>
      </m:oMath>
      <w:r w:rsidRPr="009200DB">
        <w:rPr>
          <w:rFonts w:ascii="Times New Roman" w:hAnsi="Times New Roman" w:cs="Times New Roman"/>
          <w:b/>
          <w:bCs/>
          <w:color w:val="000000" w:themeColor="text1"/>
        </w:rPr>
        <w:t> </w:t>
      </w:r>
      <w:r w:rsidRPr="009200DB">
        <w:rPr>
          <w:rFonts w:ascii="Times New Roman" w:hAnsi="Times New Roman" w:cs="Times New Roman"/>
          <w:color w:val="000000" w:themeColor="text1"/>
        </w:rPr>
        <w:t>: Across the candidate modeling paradigms evaluated, no individual approach will prove superior across all three performance measures (robustness, resilience, and generalizability).</w:t>
      </w:r>
    </w:p>
    <w:p w14:paraId="206977AB" w14:textId="77777777" w:rsidR="00D84C52" w:rsidRPr="009200DB" w:rsidRDefault="006E5D47" w:rsidP="009200DB">
      <w:pPr>
        <w:pStyle w:val="code-line"/>
        <w:numPr>
          <w:ilvl w:val="0"/>
          <w:numId w:val="3"/>
        </w:numPr>
        <w:spacing w:before="0" w:beforeAutospacing="0" w:after="0" w:afterAutospacing="0" w:line="480" w:lineRule="auto"/>
        <w:contextualSpacing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1a</m:t>
            </m:r>
          </m:sub>
        </m:sSub>
      </m:oMath>
      <w:r w:rsidR="00D84C52" w:rsidRPr="009200DB">
        <w:rPr>
          <w:rStyle w:val="Strong"/>
          <w:color w:val="000000"/>
        </w:rPr>
        <w:t> (Robustness Target: Lowest </w:t>
      </w:r>
      <m:oMath>
        <m:r>
          <w:rPr>
            <w:rFonts w:ascii="Cambria Math" w:hAnsi="Cambria Math"/>
          </w:rPr>
          <m:t>RMS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routine</m:t>
            </m:r>
          </m:sub>
        </m:sSub>
      </m:oMath>
      <w:r w:rsidR="00D84C52" w:rsidRPr="009200DB">
        <w:rPr>
          <w:rStyle w:val="Strong"/>
          <w:color w:val="000000"/>
        </w:rPr>
        <w:t> and </w:t>
      </w:r>
      <m:oMath>
        <m:r>
          <w:rPr>
            <w:rFonts w:ascii="Cambria Math" w:hAnsi="Cambria Math"/>
          </w:rPr>
          <m:t>MAS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routine</m:t>
            </m:r>
          </m:sub>
        </m:sSub>
        <m:r>
          <w:rPr>
            <w:rFonts w:ascii="Cambria Math" w:hAnsi="Cambria Math"/>
          </w:rPr>
          <m:t>&lt;0.700</m:t>
        </m:r>
      </m:oMath>
      <w:r w:rsidR="00D84C52" w:rsidRPr="009200DB">
        <w:rPr>
          <w:rStyle w:val="Strong"/>
          <w:color w:val="000000"/>
        </w:rPr>
        <w:t>)</w:t>
      </w:r>
      <w:r w:rsidR="00D84C52" w:rsidRPr="009200DB">
        <w:rPr>
          <w:color w:val="000000"/>
        </w:rPr>
        <w:t xml:space="preserve">: Supervised machine learning (Model 2) and two-stage dynamic hybrids (Model 3) will successfully </w:t>
      </w:r>
      <w:r w:rsidR="00D84C52" w:rsidRPr="009200DB">
        <w:rPr>
          <w:color w:val="000000"/>
        </w:rPr>
        <w:lastRenderedPageBreak/>
        <w:t>achieve the robustness target (</w:t>
      </w:r>
      <m:oMath>
        <m:r>
          <w:rPr>
            <w:rFonts w:ascii="Cambria Math" w:hAnsi="Cambria Math"/>
          </w:rPr>
          <m:t>MAS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routine</m:t>
            </m:r>
          </m:sub>
        </m:sSub>
        <m:r>
          <w:rPr>
            <w:rFonts w:ascii="Cambria Math" w:hAnsi="Cambria Math"/>
          </w:rPr>
          <m:t>&lt;0.700</m:t>
        </m:r>
      </m:oMath>
      <w:r w:rsidR="00D84C52" w:rsidRPr="009200DB">
        <w:rPr>
          <w:color w:val="000000"/>
        </w:rPr>
        <w:t>) under nominal operating conditions, whereas naive persistence (Baseline Control) and deterministic flight schedules (Model 1) will fail this threshold (</w:t>
      </w:r>
      <m:oMath>
        <m:r>
          <w:rPr>
            <w:rFonts w:ascii="Cambria Math" w:hAnsi="Cambria Math"/>
          </w:rPr>
          <m:t>MASE≥0.94</m:t>
        </m:r>
      </m:oMath>
      <w:r w:rsidR="00D84C52" w:rsidRPr="009200DB">
        <w:rPr>
          <w:color w:val="000000"/>
        </w:rPr>
        <w:t>).</w:t>
      </w:r>
    </w:p>
    <w:p w14:paraId="092094F8" w14:textId="77777777" w:rsidR="00D84C52" w:rsidRPr="009200DB" w:rsidRDefault="006E5D47" w:rsidP="009200DB">
      <w:pPr>
        <w:pStyle w:val="code-line"/>
        <w:numPr>
          <w:ilvl w:val="0"/>
          <w:numId w:val="3"/>
        </w:numPr>
        <w:spacing w:before="0" w:beforeAutospacing="0" w:after="0" w:afterAutospacing="0" w:line="480" w:lineRule="auto"/>
        <w:contextualSpacing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1b</m:t>
            </m:r>
          </m:sub>
        </m:sSub>
      </m:oMath>
      <w:r w:rsidR="00D84C52" w:rsidRPr="009200DB">
        <w:rPr>
          <w:rStyle w:val="Strong"/>
          <w:color w:val="000000"/>
        </w:rPr>
        <w:t> (Resilience Target: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RMSE</m:t>
            </m:r>
          </m:sub>
        </m:sSub>
        <m:r>
          <w:rPr>
            <w:rFonts w:ascii="Cambria Math" w:hAnsi="Cambria Math"/>
          </w:rPr>
          <m:t>≈1.00</m:t>
        </m:r>
        <m:r>
          <m:rPr>
            <m:nor/>
          </m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nor/>
                  </m:rPr>
                  <m:t>MASE</m:t>
                </m:r>
              </m:sub>
            </m:sSub>
            <m:r>
              <w:rPr>
                <w:rFonts w:ascii="Cambria Math" w:hAnsi="Cambria Math"/>
              </w:rPr>
              <m:t>≈1.00</m:t>
            </m:r>
          </m:e>
        </m:d>
      </m:oMath>
      <w:r w:rsidR="00D84C52" w:rsidRPr="009200DB">
        <w:rPr>
          <w:rStyle w:val="Strong"/>
          <w:color w:val="000000"/>
        </w:rPr>
        <w:t>, Lowest </w:t>
      </w:r>
      <m:oMath>
        <m:r>
          <w:rPr>
            <w:rFonts w:ascii="Cambria Math" w:hAnsi="Cambria Math"/>
          </w:rPr>
          <m:t>MAS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shock</m:t>
            </m:r>
          </m:sub>
        </m:sSub>
      </m:oMath>
      <w:r w:rsidR="00D84C52" w:rsidRPr="009200DB">
        <w:rPr>
          <w:rStyle w:val="Strong"/>
          <w:color w:val="000000"/>
        </w:rPr>
        <w:t>, and </w:t>
      </w:r>
      <m:oMath>
        <m:r>
          <w:rPr>
            <w:rFonts w:ascii="Cambria Math" w:hAnsi="Cambria Math"/>
          </w:rPr>
          <m:t>TTR&lt;4.0</m:t>
        </m:r>
        <m:r>
          <m:rPr>
            <m:nor/>
          </m:rPr>
          <m:t> hours</m:t>
        </m:r>
      </m:oMath>
      <w:r w:rsidR="00D84C52" w:rsidRPr="009200DB">
        <w:rPr>
          <w:rStyle w:val="Strong"/>
          <w:color w:val="000000"/>
        </w:rPr>
        <w:t>)</w:t>
      </w:r>
      <w:r w:rsidR="00D84C52" w:rsidRPr="009200DB">
        <w:rPr>
          <w:color w:val="000000"/>
        </w:rPr>
        <w:t>: The Dynamic Two-Stage Hybrid (Model 3) will be the sole architecture to satisfy the resilience target due to recursive 1-step error innovation feedback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D84C52" w:rsidRPr="009200DB">
        <w:rPr>
          <w:color w:val="000000"/>
        </w:rPr>
        <w:t>). Static supervised machine learning (Model 2) will experience severe performance degradation (</w:t>
      </w:r>
      <m:oMath>
        <m:r>
          <w:rPr>
            <w:rFonts w:ascii="Cambria Math" w:hAnsi="Cambria Math"/>
          </w:rPr>
          <m:t>R≥2.0</m:t>
        </m:r>
      </m:oMath>
      <w:r w:rsidR="00D84C52" w:rsidRPr="009200DB">
        <w:rPr>
          <w:color w:val="000000"/>
        </w:rPr>
        <w:t>) resulting from the Empty Checkpoint Fallacy during flight ground delays, while deterministic baselines (Model 1) will remain blind to downline delay cascades.</w:t>
      </w:r>
    </w:p>
    <w:p w14:paraId="41FFAA43" w14:textId="77777777" w:rsidR="00D84C52" w:rsidRPr="009200DB" w:rsidRDefault="006E5D47" w:rsidP="009200DB">
      <w:pPr>
        <w:pStyle w:val="code-line"/>
        <w:numPr>
          <w:ilvl w:val="0"/>
          <w:numId w:val="3"/>
        </w:numPr>
        <w:spacing w:before="0" w:beforeAutospacing="0" w:after="0" w:afterAutospacing="0" w:line="480" w:lineRule="auto"/>
        <w:contextualSpacing/>
        <w:rPr>
          <w:color w:val="000000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1c</m:t>
            </m:r>
          </m:sub>
        </m:sSub>
      </m:oMath>
      <w:r w:rsidR="00D84C52" w:rsidRPr="009200DB">
        <w:rPr>
          <w:rStyle w:val="Strong"/>
          <w:color w:val="000000"/>
        </w:rPr>
        <w:t> (Generalizability Target: </w:t>
      </w:r>
      <m:oMath>
        <m:r>
          <w:rPr>
            <w:rFonts w:ascii="Cambria Math" w:hAnsi="Cambria Math"/>
          </w:rPr>
          <m:t>RTR≈1.00</m:t>
        </m:r>
      </m:oMath>
      <w:r w:rsidR="00D84C52" w:rsidRPr="009200DB">
        <w:rPr>
          <w:rStyle w:val="Strong"/>
          <w:color w:val="000000"/>
        </w:rPr>
        <w:t> and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transfer</m:t>
            </m:r>
          </m:sub>
        </m:sSub>
        <m:r>
          <w:rPr>
            <w:rFonts w:ascii="Cambria Math" w:hAnsi="Cambria Math"/>
          </w:rPr>
          <m:t>≤10.0%</m:t>
        </m:r>
      </m:oMath>
      <w:r w:rsidR="00D84C52" w:rsidRPr="009200DB">
        <w:rPr>
          <w:rStyle w:val="Strong"/>
          <w:color w:val="000000"/>
        </w:rPr>
        <w:t>)</w:t>
      </w:r>
      <w:r w:rsidR="00D84C52" w:rsidRPr="009200DB">
        <w:rPr>
          <w:color w:val="000000"/>
        </w:rPr>
        <w:t>: The Deterministic Flight Schedule Model (Model 1) will satisfy the generalizability target (</w:t>
      </w:r>
      <m:oMath>
        <m:r>
          <w:rPr>
            <w:rFonts w:ascii="Cambria Math" w:hAnsi="Cambria Math"/>
          </w:rPr>
          <m:t>RTR≈1.00,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MASE≤10.0%</m:t>
        </m:r>
      </m:oMath>
      <w:r w:rsidR="00D84C52" w:rsidRPr="009200DB">
        <w:rPr>
          <w:color w:val="000000"/>
        </w:rPr>
        <w:t>) without local retraining because flight schedule convolution is invariant to local terminal geometry. Conversely, the Dynamic Hybrid (Model 3) will fail the generalizability target (</w:t>
      </w:r>
      <m:oMath>
        <m:r>
          <w:rPr>
            <w:rFonts w:ascii="Cambria Math" w:hAnsi="Cambria Math"/>
          </w:rPr>
          <m:t>RTR≫1.00,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MASE&gt;10.0%</m:t>
        </m:r>
      </m:oMath>
      <w:r w:rsidR="00D84C52" w:rsidRPr="009200DB">
        <w:rPr>
          <w:color w:val="000000"/>
        </w:rPr>
        <w:t>) due to decision tree terminal geometry overfitting.</w:t>
      </w:r>
    </w:p>
    <w:p w14:paraId="1770BE18" w14:textId="77777777" w:rsidR="00D84C52" w:rsidRPr="009200DB" w:rsidRDefault="00D84C52" w:rsidP="009200DB">
      <w:pPr>
        <w:spacing w:after="0" w:line="480" w:lineRule="auto"/>
        <w:contextualSpacing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6BF1790" w14:textId="77777777" w:rsidR="00B54DB7" w:rsidRPr="009200DB" w:rsidRDefault="00B54DB7" w:rsidP="009200DB">
      <w:pPr>
        <w:spacing w:after="0" w:line="480" w:lineRule="auto"/>
        <w:contextualSpacing/>
        <w:rPr>
          <w:rFonts w:ascii="Times New Roman" w:hAnsi="Times New Roman" w:cs="Times New Roman"/>
        </w:rPr>
      </w:pPr>
    </w:p>
    <w:sectPr w:rsidR="00B54DB7" w:rsidRPr="0092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B4D79"/>
    <w:multiLevelType w:val="multilevel"/>
    <w:tmpl w:val="CC9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808C4"/>
    <w:multiLevelType w:val="multilevel"/>
    <w:tmpl w:val="122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278F5"/>
    <w:multiLevelType w:val="hybridMultilevel"/>
    <w:tmpl w:val="9502D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E7CCD"/>
    <w:multiLevelType w:val="multilevel"/>
    <w:tmpl w:val="2F5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B15B3"/>
    <w:multiLevelType w:val="hybridMultilevel"/>
    <w:tmpl w:val="321C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587212">
    <w:abstractNumId w:val="1"/>
  </w:num>
  <w:num w:numId="2" w16cid:durableId="1996256848">
    <w:abstractNumId w:val="3"/>
  </w:num>
  <w:num w:numId="3" w16cid:durableId="1711416126">
    <w:abstractNumId w:val="0"/>
  </w:num>
  <w:num w:numId="4" w16cid:durableId="986125371">
    <w:abstractNumId w:val="2"/>
  </w:num>
  <w:num w:numId="5" w16cid:durableId="39508323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C0"/>
    <w:rsid w:val="00021C93"/>
    <w:rsid w:val="000C155C"/>
    <w:rsid w:val="00295729"/>
    <w:rsid w:val="002E1D63"/>
    <w:rsid w:val="00366380"/>
    <w:rsid w:val="00437BF1"/>
    <w:rsid w:val="004623A7"/>
    <w:rsid w:val="004E7D0B"/>
    <w:rsid w:val="006068C0"/>
    <w:rsid w:val="0074327F"/>
    <w:rsid w:val="009200DB"/>
    <w:rsid w:val="009A52F7"/>
    <w:rsid w:val="009C20BE"/>
    <w:rsid w:val="00B54DB7"/>
    <w:rsid w:val="00D02787"/>
    <w:rsid w:val="00D84C52"/>
    <w:rsid w:val="00D95C0E"/>
    <w:rsid w:val="00E769F8"/>
    <w:rsid w:val="00F4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B8371"/>
  <w15:chartTrackingRefBased/>
  <w15:docId w15:val="{3498977A-67D0-D54E-8F40-29018FBD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PA7">
    <w:name w:val="APA 7"/>
    <w:basedOn w:val="TableNormal"/>
    <w:uiPriority w:val="99"/>
    <w:rsid w:val="00D95C0E"/>
    <w:pPr>
      <w:spacing w:after="0" w:line="360" w:lineRule="auto"/>
      <w:contextualSpacing/>
    </w:pPr>
    <w:rPr>
      <w:rFonts w:ascii="Times New Roman" w:hAnsi="Times New Roman" w:cs="Times New Roman (Body CS)"/>
      <w:i/>
      <w:color w:val="000000" w:themeColor="text1"/>
      <w:sz w:val="20"/>
    </w:rPr>
    <w:tblPr/>
    <w:tcPr>
      <w:shd w:val="clear" w:color="auto" w:fill="auto"/>
      <w:vAlign w:val="center"/>
    </w:tcPr>
    <w:tblStylePr w:type="firstRow">
      <w:rPr>
        <w:rFonts w:ascii="Times New Roman" w:hAnsi="Times New Roman"/>
        <w:sz w:val="20"/>
      </w:rPr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rPr>
        <w:rFonts w:ascii="Times New Roman" w:hAnsi="Times New Roman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rFonts w:ascii="Times New Roman" w:hAnsi="Times New Roman"/>
        <w:sz w:val="20"/>
      </w:rPr>
    </w:tblStylePr>
  </w:style>
  <w:style w:type="table" w:customStyle="1" w:styleId="APA70">
    <w:name w:val="APA7"/>
    <w:basedOn w:val="TableNormal"/>
    <w:uiPriority w:val="99"/>
    <w:rsid w:val="00F465A9"/>
    <w:pPr>
      <w:spacing w:after="0" w:line="240" w:lineRule="auto"/>
    </w:pPr>
    <w:rPr>
      <w:rFonts w:ascii="Times New Roman" w:hAnsi="Times New Roman" w:cs="Times New Roman (Body CS)"/>
      <w:color w:val="000000" w:themeColor="text1"/>
      <w:sz w:val="20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rPr>
        <w:rFonts w:ascii="Times New Roman" w:hAnsi="Times New Roman"/>
        <w:sz w:val="20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wordWrap/>
        <w:spacing w:line="240" w:lineRule="auto"/>
      </w:pPr>
      <w:rPr>
        <w:rFonts w:ascii="Times New Roman" w:hAnsi="Times New Roman"/>
        <w:sz w:val="20"/>
      </w:rPr>
      <w:tblPr/>
      <w:tcPr>
        <w:tcBorders>
          <w:bottom w:val="single" w:sz="4" w:space="0" w:color="000000" w:themeColor="text1"/>
        </w:tcBorders>
        <w:shd w:val="clear" w:color="auto" w:fill="auto"/>
      </w:tcPr>
    </w:tblStylePr>
    <w:tblStylePr w:type="firstCol">
      <w:rPr>
        <w:rFonts w:ascii="Times New Roman" w:hAnsi="Times New Roman"/>
        <w:sz w:val="20"/>
      </w:rPr>
    </w:tblStylePr>
    <w:tblStylePr w:type="lastCol">
      <w:rPr>
        <w:rFonts w:ascii="Times New Roman" w:hAnsi="Times New Roman"/>
        <w:sz w:val="20"/>
      </w:rPr>
    </w:tblStylePr>
    <w:tblStylePr w:type="band1Vert">
      <w:pPr>
        <w:wordWrap/>
        <w:snapToGrid/>
        <w:spacing w:line="240" w:lineRule="auto"/>
        <w:contextualSpacing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sz w:val="20"/>
        <w:u w:val="none"/>
        <w:vertAlign w:val="baseline"/>
      </w:rPr>
    </w:tblStylePr>
    <w:tblStylePr w:type="band2Vert">
      <w:rPr>
        <w:rFonts w:ascii="Times New Roman" w:hAnsi="Times New Roman"/>
        <w:sz w:val="20"/>
      </w:rPr>
    </w:tblStylePr>
    <w:tblStylePr w:type="band1Horz">
      <w:rPr>
        <w:rFonts w:ascii="Times New Roman" w:hAnsi="Times New Roman"/>
        <w:sz w:val="20"/>
      </w:rPr>
    </w:tblStylePr>
    <w:tblStylePr w:type="band2Horz">
      <w:rPr>
        <w:rFonts w:ascii="Times New Roman" w:hAnsi="Times New Roman"/>
        <w:sz w:val="20"/>
      </w:rPr>
    </w:tblStylePr>
    <w:tblStylePr w:type="neCell">
      <w:rPr>
        <w:rFonts w:ascii="Times New Roman" w:hAnsi="Times New Roman"/>
        <w:sz w:val="20"/>
      </w:rPr>
    </w:tblStylePr>
    <w:tblStylePr w:type="nwCell">
      <w:rPr>
        <w:rFonts w:ascii="Times New Roman" w:hAnsi="Times New Roman"/>
      </w:rPr>
    </w:tblStylePr>
    <w:tblStylePr w:type="seCell">
      <w:rPr>
        <w:rFonts w:ascii="Times New Roman" w:hAnsi="Times New Roman"/>
        <w:sz w:val="20"/>
      </w:rPr>
    </w:tblStylePr>
    <w:tblStylePr w:type="swCell">
      <w:rPr>
        <w:rFonts w:ascii="Times New Roman" w:hAnsi="Times New Roman"/>
        <w:sz w:val="20"/>
      </w:rPr>
    </w:tblStylePr>
  </w:style>
  <w:style w:type="table" w:customStyle="1" w:styleId="apatest">
    <w:name w:val="apatest"/>
    <w:basedOn w:val="TableNormal"/>
    <w:uiPriority w:val="99"/>
    <w:rsid w:val="00D95C0E"/>
    <w:pPr>
      <w:spacing w:after="0" w:line="240" w:lineRule="auto"/>
    </w:pPr>
    <w:rPr>
      <w:rFonts w:ascii="Times New Roman" w:hAnsi="Times New Roman" w:cs="Times New Roman (Body CS)"/>
      <w:color w:val="000000" w:themeColor="text1"/>
      <w:sz w:val="20"/>
    </w:rPr>
    <w:tblPr/>
    <w:tcPr>
      <w:shd w:val="clear" w:color="auto" w:fill="auto"/>
      <w:vAlign w:val="center"/>
    </w:tcPr>
  </w:style>
  <w:style w:type="paragraph" w:styleId="TOC1">
    <w:name w:val="toc 1"/>
    <w:aliases w:val="APA Heading 1"/>
    <w:basedOn w:val="Normal"/>
    <w:next w:val="Normal"/>
    <w:autoRedefine/>
    <w:uiPriority w:val="39"/>
    <w:unhideWhenUsed/>
    <w:rsid w:val="004E7D0B"/>
    <w:pPr>
      <w:spacing w:before="120" w:after="0" w:line="480" w:lineRule="auto"/>
      <w:ind w:firstLine="720"/>
      <w:contextualSpacing/>
      <w:jc w:val="center"/>
    </w:pPr>
    <w:rPr>
      <w:rFonts w:ascii="Times New Roman" w:eastAsia="Times New Roman" w:hAnsi="Times New Roman" w:cs="Times New Roman"/>
      <w:b/>
      <w:bCs/>
      <w:iCs/>
      <w:color w:val="000000"/>
      <w:kern w:val="0"/>
      <w14:ligatures w14:val="none"/>
    </w:rPr>
  </w:style>
  <w:style w:type="paragraph" w:styleId="TOC2">
    <w:name w:val="toc 2"/>
    <w:aliases w:val="APA Heading 2"/>
    <w:basedOn w:val="Normal"/>
    <w:next w:val="Normal"/>
    <w:autoRedefine/>
    <w:uiPriority w:val="39"/>
    <w:unhideWhenUsed/>
    <w:rsid w:val="004E7D0B"/>
    <w:pPr>
      <w:spacing w:before="120" w:after="0" w:line="480" w:lineRule="auto"/>
      <w:ind w:left="240" w:firstLine="720"/>
      <w:contextualSpacing/>
    </w:pPr>
    <w:rPr>
      <w:rFonts w:ascii="Times New Roman" w:eastAsia="Times New Roman" w:hAnsi="Times New Roman" w:cs="Times New Roman"/>
      <w:b/>
      <w:bCs/>
      <w:color w:val="000000"/>
      <w:kern w:val="0"/>
      <w:szCs w:val="22"/>
      <w14:ligatures w14:val="none"/>
    </w:rPr>
  </w:style>
  <w:style w:type="paragraph" w:styleId="TOC3">
    <w:name w:val="toc 3"/>
    <w:aliases w:val="APA Heading 3"/>
    <w:basedOn w:val="Normal"/>
    <w:next w:val="Normal"/>
    <w:autoRedefine/>
    <w:uiPriority w:val="39"/>
    <w:unhideWhenUsed/>
    <w:rsid w:val="004E7D0B"/>
    <w:pPr>
      <w:tabs>
        <w:tab w:val="right" w:leader="underscore" w:pos="9350"/>
      </w:tabs>
      <w:spacing w:after="0" w:line="480" w:lineRule="auto"/>
      <w:ind w:left="480" w:firstLine="720"/>
      <w:contextualSpacing/>
    </w:pPr>
    <w:rPr>
      <w:rFonts w:ascii="Times New Roman" w:eastAsia="Times New Roman" w:hAnsi="Times New Roman" w:cs="Times New Roman"/>
      <w:b/>
      <w:i/>
      <w:noProof/>
      <w:color w:val="000000"/>
      <w:kern w:val="0"/>
      <w14:ligatures w14:val="none"/>
    </w:rPr>
  </w:style>
  <w:style w:type="paragraph" w:styleId="TOC4">
    <w:name w:val="toc 4"/>
    <w:aliases w:val="APA Heading 4"/>
    <w:basedOn w:val="Normal"/>
    <w:next w:val="Normal"/>
    <w:autoRedefine/>
    <w:uiPriority w:val="39"/>
    <w:unhideWhenUsed/>
    <w:rsid w:val="004E7D0B"/>
    <w:pPr>
      <w:spacing w:after="0" w:line="480" w:lineRule="auto"/>
      <w:ind w:left="720" w:firstLine="720"/>
      <w:contextualSpacing/>
    </w:pPr>
    <w:rPr>
      <w:rFonts w:ascii="Times New Roman" w:eastAsia="Times New Roman" w:hAnsi="Times New Roman" w:cs="Times New Roman"/>
      <w:b/>
      <w:color w:val="000000"/>
      <w:kern w:val="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0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C0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D84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4C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Gleich, Leila</dc:creator>
  <cp:keywords/>
  <dc:description/>
  <cp:lastModifiedBy>Gleich, Leila</cp:lastModifiedBy>
  <cp:revision>7</cp:revision>
  <dcterms:created xsi:type="dcterms:W3CDTF">2026-10-10T21:19:00Z</dcterms:created>
  <dcterms:modified xsi:type="dcterms:W3CDTF">2026-10-11T23:45:00Z</dcterms:modified>
</cp:coreProperties>
</file>